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spacing w:after="0"/>
        <w:rPr>
          <w:rFonts w:hint="default" w:ascii="Arial" w:hAnsi="Arial" w:eastAsia="宋体" w:cs="Arial"/>
          <w:sz w:val="22"/>
          <w:lang w:val="en-US" w:eastAsia="zh-CN"/>
        </w:rPr>
      </w:pPr>
      <w:bookmarkStart w:id="0" w:name="OLE_LINK3"/>
      <w:r>
        <w:rPr>
          <w:rFonts w:ascii="Arial" w:hAnsi="Arial" w:cs="Arial"/>
          <w:sz w:val="22"/>
          <w:lang w:val="en-US"/>
        </w:rPr>
        <w:t>3GPP TSG RAN WG2 #121-</w:t>
      </w:r>
      <w:r>
        <w:rPr>
          <w:rFonts w:ascii="Arial" w:hAnsi="Arial" w:cs="Arial" w:eastAsiaTheme="minorEastAsia"/>
          <w:sz w:val="22"/>
          <w:lang w:val="en-US"/>
        </w:rPr>
        <w:t>bis electronic</w:t>
      </w:r>
      <w:r>
        <w:rPr>
          <w:rFonts w:ascii="Arial" w:hAnsi="Arial" w:cs="Arial"/>
          <w:sz w:val="22"/>
          <w:lang w:val="en-US"/>
        </w:rPr>
        <w:tab/>
      </w:r>
      <w:r>
        <w:rPr>
          <w:rFonts w:ascii="Arial" w:hAnsi="Arial" w:cs="Arial"/>
          <w:sz w:val="22"/>
          <w:lang w:val="en-US"/>
        </w:rPr>
        <w:t>R2-230</w:t>
      </w:r>
      <w:r>
        <w:rPr>
          <w:rFonts w:hint="eastAsia" w:ascii="Arial" w:hAnsi="Arial" w:cs="Arial" w:eastAsiaTheme="minorEastAsia"/>
          <w:sz w:val="22"/>
          <w:lang w:val="en-US" w:eastAsia="zh-CN"/>
        </w:rPr>
        <w:t>3530</w:t>
      </w:r>
    </w:p>
    <w:bookmarkEnd w:id="0"/>
    <w:p>
      <w:pPr>
        <w:pStyle w:val="24"/>
        <w:rPr>
          <w:rFonts w:eastAsia="Times New Roman" w:cs="Arial"/>
          <w:sz w:val="22"/>
          <w:lang w:val="en-US" w:eastAsia="zh-CN"/>
        </w:rPr>
      </w:pPr>
      <w:r>
        <w:rPr>
          <w:rFonts w:eastAsia="Times New Roman" w:cs="Arial"/>
          <w:sz w:val="22"/>
          <w:lang w:val="en-US" w:eastAsia="zh-CN"/>
        </w:rPr>
        <w:t>April 17-26, 2023</w:t>
      </w:r>
    </w:p>
    <w:p>
      <w:pPr>
        <w:pStyle w:val="24"/>
        <w:rPr>
          <w:rFonts w:eastAsia="MS Mincho"/>
          <w:bCs/>
          <w:sz w:val="24"/>
          <w:lang w:val="en-US"/>
        </w:rPr>
      </w:pPr>
    </w:p>
    <w:p>
      <w:pPr>
        <w:pStyle w:val="68"/>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7</w:t>
      </w:r>
      <w:r>
        <w:rPr>
          <w:rFonts w:hint="eastAsia" w:eastAsia="宋体" w:cs="Arial"/>
          <w:b/>
          <w:bCs/>
          <w:sz w:val="24"/>
          <w:lang w:eastAsia="zh-CN"/>
        </w:rPr>
        <w:t>.</w:t>
      </w:r>
      <w:r>
        <w:rPr>
          <w:rFonts w:eastAsia="宋体" w:cs="Arial"/>
          <w:b/>
          <w:bCs/>
          <w:sz w:val="24"/>
          <w:lang w:eastAsia="zh-CN"/>
        </w:rPr>
        <w:t>5.4.1</w:t>
      </w:r>
    </w:p>
    <w:p>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bookmarkStart w:id="6" w:name="_GoBack"/>
      <w:bookmarkEnd w:id="6"/>
    </w:p>
    <w:p>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Consideration</w:t>
      </w:r>
      <w:r>
        <w:rPr>
          <w:rFonts w:ascii="Arial" w:hAnsi="Arial" w:cs="Arial"/>
          <w:b/>
          <w:bCs/>
          <w:sz w:val="24"/>
        </w:rPr>
        <w:t xml:space="preserve"> </w:t>
      </w:r>
      <w:r>
        <w:rPr>
          <w:rFonts w:hint="eastAsia" w:ascii="Arial" w:hAnsi="Arial" w:cs="Arial"/>
          <w:b/>
          <w:bCs/>
          <w:sz w:val="24"/>
          <w:lang w:eastAsia="zh-CN"/>
        </w:rPr>
        <w:t>on</w:t>
      </w:r>
      <w:r>
        <w:rPr>
          <w:rFonts w:ascii="Arial" w:hAnsi="Arial" w:cs="Arial"/>
          <w:b/>
          <w:bCs/>
          <w:sz w:val="24"/>
        </w:rPr>
        <w:t xml:space="preserve"> </w:t>
      </w:r>
      <w:r>
        <w:rPr>
          <w:rFonts w:hint="eastAsia" w:ascii="Arial" w:hAnsi="Arial" w:cs="Arial"/>
          <w:b/>
          <w:bCs/>
          <w:sz w:val="24"/>
          <w:lang w:eastAsia="zh-CN"/>
        </w:rPr>
        <w:t>BSR</w:t>
      </w:r>
      <w:r>
        <w:rPr>
          <w:rFonts w:ascii="Arial" w:hAnsi="Arial" w:cs="Arial"/>
          <w:b/>
          <w:bCs/>
          <w:sz w:val="24"/>
        </w:rPr>
        <w:t xml:space="preserve"> </w:t>
      </w:r>
      <w:r>
        <w:rPr>
          <w:rFonts w:hint="eastAsia" w:ascii="Arial" w:hAnsi="Arial" w:cs="Arial"/>
          <w:b/>
          <w:bCs/>
          <w:sz w:val="24"/>
          <w:lang w:eastAsia="zh-CN"/>
        </w:rPr>
        <w:t>enhancement</w:t>
      </w:r>
      <w:r>
        <w:rPr>
          <w:rFonts w:ascii="Arial" w:hAnsi="Arial" w:cs="Arial"/>
          <w:b/>
          <w:bCs/>
          <w:sz w:val="24"/>
          <w:lang w:eastAsia="zh-CN"/>
        </w:rPr>
        <w:t xml:space="preserve"> </w:t>
      </w:r>
      <w:r>
        <w:rPr>
          <w:rFonts w:hint="eastAsia" w:ascii="Arial" w:hAnsi="Arial" w:cs="Arial"/>
          <w:b/>
          <w:bCs/>
          <w:sz w:val="24"/>
          <w:lang w:eastAsia="zh-CN"/>
        </w:rPr>
        <w:t>for</w:t>
      </w:r>
      <w:r>
        <w:rPr>
          <w:rFonts w:ascii="Arial" w:hAnsi="Arial" w:cs="Arial"/>
          <w:b/>
          <w:bCs/>
          <w:sz w:val="24"/>
          <w:lang w:eastAsia="zh-CN"/>
        </w:rPr>
        <w:t xml:space="preserve"> </w:t>
      </w:r>
      <w:r>
        <w:rPr>
          <w:rFonts w:hint="eastAsia" w:ascii="Arial" w:hAnsi="Arial" w:cs="Arial"/>
          <w:b/>
          <w:bCs/>
          <w:sz w:val="24"/>
          <w:lang w:eastAsia="zh-CN"/>
        </w:rPr>
        <w:t>XR</w:t>
      </w:r>
    </w:p>
    <w:p>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Decision, Discussion</w:t>
      </w:r>
    </w:p>
    <w:p>
      <w:pPr>
        <w:pStyle w:val="2"/>
      </w:pPr>
      <w:r>
        <w:t>1</w:t>
      </w:r>
      <w:r>
        <w:tab/>
      </w:r>
      <w:r>
        <w:t>Introduction</w:t>
      </w:r>
    </w:p>
    <w:p>
      <w:pPr>
        <w:overflowPunct w:val="0"/>
        <w:autoSpaceDE w:val="0"/>
        <w:autoSpaceDN w:val="0"/>
        <w:adjustRightInd w:val="0"/>
        <w:textAlignment w:val="baseline"/>
        <w:rPr>
          <w:lang w:val="sv-SE" w:eastAsia="zh-CN"/>
        </w:rPr>
      </w:pPr>
      <w:bookmarkStart w:id="1" w:name="_Hlk127457765"/>
      <w:r>
        <w:rPr>
          <w:lang w:val="sv-SE" w:eastAsia="zh-CN"/>
        </w:rPr>
        <w:t xml:space="preserve">In RAN2 121[1], </w:t>
      </w:r>
      <w:bookmarkStart w:id="2" w:name="_Hlk127457838"/>
      <w:r>
        <w:rPr>
          <w:lang w:val="sv-SE" w:eastAsia="zh-CN"/>
        </w:rPr>
        <w:t xml:space="preserve">consensus </w:t>
      </w:r>
      <w:bookmarkEnd w:id="2"/>
      <w:r>
        <w:rPr>
          <w:lang w:val="sv-SE" w:eastAsia="zh-CN"/>
        </w:rPr>
        <w:t>has been reached on BSR and new BSR tables for XR, and several specific measures were agreed upon. These consensus include the following:</w:t>
      </w:r>
    </w:p>
    <w:bookmarkEnd w:id="1"/>
    <w:p>
      <w:pPr>
        <w:pStyle w:val="72"/>
      </w:pPr>
      <w:r>
        <w:t>New BSR tables are fixed (=specified) or semi-static (RRC-based).</w:t>
      </w:r>
    </w:p>
    <w:p>
      <w:pPr>
        <w:pStyle w:val="72"/>
      </w:pPr>
      <w:r>
        <w:t>FFS how many BSR tables are defined.</w:t>
      </w:r>
    </w:p>
    <w:p>
      <w:pPr>
        <w:overflowPunct w:val="0"/>
        <w:autoSpaceDE w:val="0"/>
        <w:autoSpaceDN w:val="0"/>
        <w:adjustRightInd w:val="0"/>
        <w:spacing w:before="156" w:beforeLines="50"/>
        <w:textAlignment w:val="baseline"/>
      </w:pPr>
      <w:r>
        <w:t xml:space="preserve">In this contribution, a comprehensive discussion on BSR enhancement will be </w:t>
      </w:r>
      <w:r>
        <w:rPr>
          <w:rFonts w:hint="eastAsia"/>
          <w:lang w:eastAsia="zh-CN"/>
        </w:rPr>
        <w:t>conducted</w:t>
      </w:r>
      <w:r>
        <w:rPr>
          <w:lang w:eastAsia="zh-CN"/>
        </w:rPr>
        <w:t xml:space="preserve"> </w:t>
      </w:r>
      <w:r>
        <w:rPr>
          <w:rFonts w:hint="eastAsia"/>
          <w:lang w:eastAsia="zh-CN"/>
        </w:rPr>
        <w:t>for</w:t>
      </w:r>
      <w:r>
        <w:rPr>
          <w:lang w:eastAsia="zh-CN"/>
        </w:rPr>
        <w:t xml:space="preserve"> </w:t>
      </w:r>
      <w:r>
        <w:rPr>
          <w:rFonts w:hint="eastAsia"/>
          <w:lang w:eastAsia="zh-CN"/>
        </w:rPr>
        <w:t>XR</w:t>
      </w:r>
      <w:r>
        <w:rPr>
          <w:lang w:eastAsia="zh-CN"/>
        </w:rPr>
        <w:t xml:space="preserve"> </w:t>
      </w:r>
      <w:r>
        <w:rPr>
          <w:rFonts w:hint="eastAsia"/>
          <w:lang w:eastAsia="zh-CN"/>
        </w:rPr>
        <w:t>service</w:t>
      </w:r>
      <w:r>
        <w:t>.</w:t>
      </w:r>
    </w:p>
    <w:p>
      <w:pPr>
        <w:pStyle w:val="2"/>
      </w:pPr>
      <w:r>
        <w:rPr>
          <w:rFonts w:hint="eastAsia"/>
          <w:lang w:eastAsia="zh-CN"/>
        </w:rPr>
        <w:t>2</w:t>
      </w:r>
      <w:r>
        <w:tab/>
      </w:r>
      <w:r>
        <w:t>Discussion</w:t>
      </w:r>
    </w:p>
    <w:p>
      <w:pPr>
        <w:pStyle w:val="3"/>
        <w:rPr>
          <w:lang w:val="en-US" w:eastAsia="zh-CN"/>
        </w:rPr>
      </w:pPr>
      <w:bookmarkStart w:id="3" w:name="_Hlk109915489"/>
      <w:r>
        <w:rPr>
          <w:rFonts w:hint="eastAsia"/>
          <w:lang w:eastAsia="zh-CN"/>
        </w:rPr>
        <w:t>2.1</w:t>
      </w:r>
      <w:r>
        <w:rPr>
          <w:lang w:eastAsia="zh-CN"/>
        </w:rPr>
        <w:t xml:space="preserve"> Configurable </w:t>
      </w:r>
      <w:r>
        <w:rPr>
          <w:rFonts w:hint="eastAsia"/>
          <w:lang w:val="sv-SE" w:eastAsia="zh-CN"/>
        </w:rPr>
        <w:t>BS</w:t>
      </w:r>
      <w:r>
        <w:rPr>
          <w:lang w:val="sv-SE" w:eastAsia="zh-CN"/>
        </w:rPr>
        <w:t>R table</w:t>
      </w:r>
    </w:p>
    <w:p>
      <w:pPr>
        <w:rPr>
          <w:lang w:eastAsia="zh-CN"/>
        </w:rPr>
      </w:pPr>
      <w:r>
        <w:rPr>
          <w:lang w:eastAsia="zh-CN"/>
        </w:rPr>
        <w:t>Following the latest discussion, There are two majority views in RAN2 on the enhancement of BSR table, one of which is that the new BSR table is fixed. And the consideration for such approach is mostly due to the convenience of UE implementation and avoid the overhead of caused by transmitting specified BSR tables between UE and NW.</w:t>
      </w:r>
    </w:p>
    <w:p>
      <w:pPr>
        <w:rPr>
          <w:lang w:eastAsia="zh-CN"/>
        </w:rPr>
      </w:pPr>
      <w:r>
        <w:rPr>
          <w:rFonts w:hint="eastAsia"/>
          <w:lang w:eastAsia="zh-CN"/>
        </w:rPr>
        <w:t>T</w:t>
      </w:r>
      <w:r>
        <w:rPr>
          <w:lang w:eastAsia="zh-CN"/>
        </w:rPr>
        <w:t>he other approach is to use semi-static (RRC-based) BSR table. Companies</w:t>
      </w:r>
      <w:r>
        <w:rPr>
          <w:rFonts w:hint="eastAsia"/>
          <w:lang w:eastAsia="zh-CN"/>
        </w:rPr>
        <w:t xml:space="preserve"> </w:t>
      </w:r>
      <w:r>
        <w:rPr>
          <w:lang w:eastAsia="zh-CN"/>
        </w:rPr>
        <w:t>who prefer this approach think the fixed table cannot adopt the numerous variations and diversity of XR services and applications, which can result in the difficult of ensuring the quantization error of fixed table meet the QoE and QoS requirements of XR service.</w:t>
      </w:r>
    </w:p>
    <w:p>
      <w:pPr>
        <w:rPr>
          <w:lang w:eastAsia="zh-CN"/>
        </w:rPr>
      </w:pPr>
      <w:r>
        <w:rPr>
          <w:rFonts w:hint="eastAsia"/>
          <w:lang w:eastAsia="zh-CN"/>
        </w:rPr>
        <w:t>F</w:t>
      </w:r>
      <w:r>
        <w:rPr>
          <w:lang w:eastAsia="zh-CN"/>
        </w:rPr>
        <w:t xml:space="preserve">rom the perspective of minimizing the quantization error, a most </w:t>
      </w:r>
      <w:r>
        <w:rPr>
          <w:rFonts w:hint="eastAsia"/>
          <w:lang w:eastAsia="zh-CN"/>
        </w:rPr>
        <w:t>feasible</w:t>
      </w:r>
      <w:r>
        <w:rPr>
          <w:lang w:eastAsia="zh-CN"/>
        </w:rPr>
        <w:t xml:space="preserve"> solution is to design a BSR table close to the actual buffer occupation of UE, namely the BSR table is dynamically generated based on UE real-time buffer usage. We believe that it should provide the </w:t>
      </w:r>
      <w:r>
        <w:rPr>
          <w:rFonts w:hint="eastAsia"/>
          <w:lang w:eastAsia="zh-CN"/>
        </w:rPr>
        <w:t>least</w:t>
      </w:r>
      <w:r>
        <w:rPr>
          <w:lang w:eastAsia="zh-CN"/>
        </w:rPr>
        <w:t xml:space="preserve"> quantization error compared to fixed and semi-static BSR table. However, dynamic BSR table requires UE to monitor its buffer usage and NW to maintain a dynamic BSR table for each UE. And the synchronization of BSR table between UE and NW is necessary to ensure the BSR table used in NW and UE are the same, which the overhead of synchronization increase.</w:t>
      </w:r>
    </w:p>
    <w:p>
      <w:pPr>
        <w:rPr>
          <w:lang w:eastAsia="zh-CN"/>
        </w:rPr>
      </w:pPr>
      <w:r>
        <w:rPr>
          <w:rFonts w:hint="eastAsia"/>
          <w:lang w:eastAsia="zh-CN"/>
        </w:rPr>
        <w:t>While</w:t>
      </w:r>
      <w:r>
        <w:rPr>
          <w:lang w:eastAsia="zh-CN"/>
        </w:rPr>
        <w:t xml:space="preserve"> </w:t>
      </w:r>
      <w:r>
        <w:rPr>
          <w:rFonts w:hint="eastAsia"/>
          <w:lang w:eastAsia="zh-CN"/>
        </w:rPr>
        <w:t>the</w:t>
      </w:r>
      <w:r>
        <w:rPr>
          <w:lang w:eastAsia="zh-CN"/>
        </w:rPr>
        <w:t xml:space="preserve"> problem </w:t>
      </w:r>
      <w:r>
        <w:rPr>
          <w:rFonts w:hint="eastAsia"/>
          <w:lang w:eastAsia="zh-CN"/>
        </w:rPr>
        <w:t>of</w:t>
      </w:r>
      <w:r>
        <w:rPr>
          <w:lang w:eastAsia="zh-CN"/>
        </w:rPr>
        <w:t xml:space="preserve"> </w:t>
      </w:r>
      <w:r>
        <w:rPr>
          <w:rFonts w:hint="eastAsia"/>
          <w:lang w:eastAsia="zh-CN"/>
        </w:rPr>
        <w:t>fixed</w:t>
      </w:r>
      <w:r>
        <w:rPr>
          <w:lang w:eastAsia="zh-CN"/>
        </w:rPr>
        <w:t xml:space="preserve"> </w:t>
      </w:r>
      <w:r>
        <w:rPr>
          <w:rFonts w:hint="eastAsia"/>
          <w:lang w:eastAsia="zh-CN"/>
        </w:rPr>
        <w:t>table</w:t>
      </w:r>
      <w:r>
        <w:rPr>
          <w:lang w:eastAsia="zh-CN"/>
        </w:rPr>
        <w:t xml:space="preserve"> </w:t>
      </w:r>
      <w:r>
        <w:rPr>
          <w:rFonts w:hint="eastAsia"/>
          <w:lang w:eastAsia="zh-CN"/>
        </w:rPr>
        <w:t>is</w:t>
      </w:r>
      <w:r>
        <w:rPr>
          <w:lang w:eastAsia="zh-CN"/>
        </w:rPr>
        <w:t xml:space="preserve"> </w:t>
      </w:r>
      <w:r>
        <w:rPr>
          <w:rFonts w:hint="eastAsia"/>
          <w:lang w:eastAsia="zh-CN"/>
        </w:rPr>
        <w:t>that</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difficult</w:t>
      </w:r>
      <w:r>
        <w:rPr>
          <w:lang w:eastAsia="zh-CN"/>
        </w:rPr>
        <w:t xml:space="preserve"> of design a BSR table suitable for multiple XR services and traffic flows. Moreover, it is also difficult to estimate how many fixed BSR need to be defined, especially considering the video streams has various resolutions, refresh rates and code rates.</w:t>
      </w:r>
    </w:p>
    <w:p>
      <w:pPr>
        <w:rPr>
          <w:b/>
          <w:bCs/>
          <w:lang w:eastAsia="zh-CN"/>
        </w:rPr>
      </w:pPr>
      <w:r>
        <w:rPr>
          <w:b/>
          <w:bCs/>
          <w:lang w:eastAsia="zh-CN"/>
        </w:rPr>
        <w:t>Observation 1:</w:t>
      </w:r>
      <w:r>
        <w:rPr>
          <w:rFonts w:hint="eastAsia"/>
          <w:b/>
          <w:bCs/>
          <w:lang w:eastAsia="zh-CN"/>
        </w:rPr>
        <w:t xml:space="preserve"> Dynamic</w:t>
      </w:r>
      <w:r>
        <w:rPr>
          <w:b/>
          <w:bCs/>
          <w:lang w:eastAsia="zh-CN"/>
        </w:rPr>
        <w:t xml:space="preserve"> </w:t>
      </w:r>
      <w:r>
        <w:rPr>
          <w:rFonts w:hint="eastAsia"/>
          <w:b/>
          <w:bCs/>
          <w:lang w:eastAsia="zh-CN"/>
        </w:rPr>
        <w:t>BSR</w:t>
      </w:r>
      <w:r>
        <w:rPr>
          <w:b/>
          <w:bCs/>
          <w:lang w:eastAsia="zh-CN"/>
        </w:rPr>
        <w:t xml:space="preserve"> </w:t>
      </w:r>
      <w:r>
        <w:rPr>
          <w:rFonts w:hint="eastAsia"/>
          <w:b/>
          <w:bCs/>
          <w:lang w:eastAsia="zh-CN"/>
        </w:rPr>
        <w:t>table</w:t>
      </w:r>
      <w:r>
        <w:rPr>
          <w:b/>
          <w:bCs/>
          <w:lang w:eastAsia="zh-CN"/>
        </w:rPr>
        <w:t xml:space="preserve"> </w:t>
      </w:r>
      <w:r>
        <w:rPr>
          <w:rFonts w:hint="eastAsia"/>
          <w:b/>
          <w:bCs/>
          <w:lang w:eastAsia="zh-CN"/>
        </w:rPr>
        <w:t>can</w:t>
      </w:r>
      <w:r>
        <w:rPr>
          <w:b/>
          <w:bCs/>
          <w:lang w:eastAsia="zh-CN"/>
        </w:rPr>
        <w:t xml:space="preserve"> </w:t>
      </w:r>
      <w:r>
        <w:rPr>
          <w:rFonts w:hint="eastAsia"/>
          <w:b/>
          <w:bCs/>
          <w:lang w:eastAsia="zh-CN"/>
        </w:rPr>
        <w:t>cause</w:t>
      </w:r>
      <w:r>
        <w:rPr>
          <w:b/>
          <w:bCs/>
          <w:lang w:eastAsia="zh-CN"/>
        </w:rPr>
        <w:t xml:space="preserve"> signaling overhead and difficulty </w:t>
      </w:r>
      <w:r>
        <w:rPr>
          <w:rFonts w:hint="eastAsia"/>
          <w:b/>
          <w:bCs/>
          <w:lang w:eastAsia="zh-CN"/>
        </w:rPr>
        <w:t>of</w:t>
      </w:r>
      <w:r>
        <w:rPr>
          <w:b/>
          <w:bCs/>
          <w:lang w:eastAsia="zh-CN"/>
        </w:rPr>
        <w:t xml:space="preserve"> </w:t>
      </w:r>
      <w:r>
        <w:rPr>
          <w:rFonts w:hint="eastAsia"/>
          <w:b/>
          <w:bCs/>
          <w:lang w:eastAsia="zh-CN"/>
        </w:rPr>
        <w:t>UE</w:t>
      </w:r>
      <w:r>
        <w:rPr>
          <w:b/>
          <w:bCs/>
          <w:lang w:eastAsia="zh-CN"/>
        </w:rPr>
        <w:t xml:space="preserve"> </w:t>
      </w:r>
      <w:r>
        <w:rPr>
          <w:rFonts w:hint="eastAsia"/>
          <w:b/>
          <w:bCs/>
          <w:lang w:eastAsia="zh-CN"/>
        </w:rPr>
        <w:t>and</w:t>
      </w:r>
      <w:r>
        <w:rPr>
          <w:b/>
          <w:bCs/>
          <w:lang w:eastAsia="zh-CN"/>
        </w:rPr>
        <w:t xml:space="preserve"> </w:t>
      </w:r>
      <w:r>
        <w:rPr>
          <w:rFonts w:hint="eastAsia"/>
          <w:b/>
          <w:bCs/>
          <w:lang w:eastAsia="zh-CN"/>
        </w:rPr>
        <w:t>NW</w:t>
      </w:r>
      <w:r>
        <w:rPr>
          <w:b/>
          <w:bCs/>
          <w:lang w:eastAsia="zh-CN"/>
        </w:rPr>
        <w:t xml:space="preserve"> implementation, while it is also hard to determine how many fixed BSR table is sufficient for XR </w:t>
      </w:r>
      <w:r>
        <w:rPr>
          <w:rFonts w:hint="eastAsia"/>
          <w:b/>
          <w:bCs/>
          <w:lang w:eastAsia="zh-CN"/>
        </w:rPr>
        <w:t>since</w:t>
      </w:r>
      <w:r>
        <w:rPr>
          <w:b/>
          <w:bCs/>
          <w:lang w:eastAsia="zh-CN"/>
        </w:rPr>
        <w:t xml:space="preserve"> </w:t>
      </w:r>
      <w:r>
        <w:rPr>
          <w:rFonts w:hint="eastAsia"/>
          <w:b/>
          <w:bCs/>
          <w:lang w:eastAsia="zh-CN"/>
        </w:rPr>
        <w:t>video</w:t>
      </w:r>
      <w:r>
        <w:rPr>
          <w:b/>
          <w:bCs/>
          <w:lang w:eastAsia="zh-CN"/>
        </w:rPr>
        <w:t xml:space="preserve"> </w:t>
      </w:r>
      <w:r>
        <w:rPr>
          <w:rFonts w:hint="eastAsia"/>
          <w:b/>
          <w:bCs/>
          <w:lang w:eastAsia="zh-CN"/>
        </w:rPr>
        <w:t>stream</w:t>
      </w:r>
      <w:r>
        <w:rPr>
          <w:b/>
          <w:bCs/>
          <w:lang w:eastAsia="zh-CN"/>
        </w:rPr>
        <w:t xml:space="preserve"> </w:t>
      </w:r>
      <w:r>
        <w:rPr>
          <w:rFonts w:hint="eastAsia"/>
          <w:b/>
          <w:bCs/>
          <w:lang w:eastAsia="zh-CN"/>
        </w:rPr>
        <w:t>has</w:t>
      </w:r>
      <w:r>
        <w:rPr>
          <w:b/>
          <w:bCs/>
          <w:lang w:eastAsia="zh-CN"/>
        </w:rPr>
        <w:t xml:space="preserve"> various resolution, refresh rate and code rate.</w:t>
      </w:r>
    </w:p>
    <w:p>
      <w:pPr>
        <w:rPr>
          <w:lang w:eastAsia="zh-CN"/>
        </w:rPr>
      </w:pPr>
      <w:r>
        <w:rPr>
          <w:lang w:eastAsia="zh-CN"/>
        </w:rPr>
        <w:t>Therefore, using RRC-based configurable BSR table is the feasible approach. The RRC entity (either UE or NW) can determine an adoptable BSR table with limited parameters for the current XR traffic based on the buffer usage for UE and BSR for NW and inform the UE or NW to use the same BSR table to ensure that no misunderstanding is caused. This can also achieve a compromise in terms of implementation difficulty, signaling overhead and quantization error.</w:t>
      </w:r>
    </w:p>
    <w:p>
      <w:pPr>
        <w:rPr>
          <w:lang w:eastAsia="zh-CN"/>
        </w:rPr>
      </w:pPr>
      <w:r>
        <w:rPr>
          <w:lang w:eastAsia="zh-CN"/>
        </w:rPr>
        <w:t>Since XR services may have many types of data in the uplink, such as video frames, audio, head tracking and controller input, which have different traffic patterns, introducing only one BSR table is not sufficient.</w:t>
      </w:r>
    </w:p>
    <w:p>
      <w:pPr>
        <w:rPr>
          <w:rFonts w:hint="eastAsia"/>
          <w:b/>
          <w:bCs/>
          <w:lang w:eastAsia="zh-CN"/>
        </w:rPr>
      </w:pPr>
      <w:r>
        <w:rPr>
          <w:b/>
          <w:bCs/>
          <w:lang w:eastAsia="zh-CN"/>
        </w:rPr>
        <w:t>Proposal 1: Introduce multiple configurable semi-static BSR tables (with limited parameters) for XR.</w:t>
      </w:r>
    </w:p>
    <w:p>
      <w:pPr>
        <w:rPr>
          <w:lang w:eastAsia="zh-CN"/>
        </w:rPr>
      </w:pPr>
      <w:r>
        <w:rPr>
          <w:lang w:eastAsia="zh-CN"/>
        </w:rPr>
        <w:t xml:space="preserve">Since the BSR is a summary of </w:t>
      </w:r>
      <w:r>
        <w:rPr>
          <w:rFonts w:hint="eastAsia"/>
          <w:lang w:eastAsia="zh-CN"/>
        </w:rPr>
        <w:t>UE</w:t>
      </w:r>
      <w:r>
        <w:rPr>
          <w:lang w:eastAsia="zh-CN"/>
        </w:rPr>
        <w:t xml:space="preserve"> uplink buffer usage for each </w:t>
      </w:r>
      <w:r>
        <w:rPr>
          <w:rFonts w:hint="eastAsia"/>
          <w:lang w:eastAsia="zh-CN"/>
        </w:rPr>
        <w:t>LCG</w:t>
      </w:r>
      <w:r>
        <w:rPr>
          <w:lang w:eastAsia="zh-CN"/>
        </w:rPr>
        <w:t xml:space="preserve"> </w:t>
      </w:r>
      <w:r>
        <w:rPr>
          <w:rFonts w:hint="eastAsia"/>
          <w:lang w:eastAsia="zh-CN"/>
        </w:rPr>
        <w:t>in</w:t>
      </w:r>
      <w:r>
        <w:rPr>
          <w:lang w:eastAsia="zh-CN"/>
        </w:rPr>
        <w:t xml:space="preserve"> </w:t>
      </w:r>
      <w:r>
        <w:rPr>
          <w:rFonts w:hint="eastAsia"/>
          <w:lang w:eastAsia="zh-CN"/>
        </w:rPr>
        <w:t>nature</w:t>
      </w:r>
      <w:r>
        <w:rPr>
          <w:lang w:eastAsia="zh-CN"/>
        </w:rPr>
        <w:t xml:space="preserve">, it is reasonable to let the UE choose the appropriate BSR table since the UE can directly obtain the change of buffer status of each LCH and LCG, while the NW can only know the buffer status of the LCG after the UE sends the BSR. And there may be implementation difficulties for the NW to monitor and maintain the buffer status for all UEs. </w:t>
      </w:r>
    </w:p>
    <w:p>
      <w:pPr>
        <w:rPr>
          <w:lang w:eastAsia="zh-CN"/>
        </w:rPr>
      </w:pPr>
      <w:r>
        <w:rPr>
          <w:lang w:eastAsia="zh-CN"/>
        </w:rPr>
        <w:t>However, the network should also be able to take over this operation (choose BSR table for UE) when necessary to avoid increasing the processing burden of UE.</w:t>
      </w:r>
    </w:p>
    <w:p>
      <w:pPr>
        <w:rPr>
          <w:rFonts w:hint="eastAsia"/>
          <w:b/>
          <w:bCs/>
          <w:lang w:eastAsia="zh-CN"/>
        </w:rPr>
      </w:pPr>
      <w:r>
        <w:rPr>
          <w:b/>
          <w:bCs/>
          <w:lang w:eastAsia="zh-CN"/>
        </w:rPr>
        <w:t>Proposal 2: NW can configure multiple semi-static BSR tables for UE, either UE or NW can choose a suitable one to use and inform the other.</w:t>
      </w:r>
    </w:p>
    <w:p>
      <w:pPr>
        <w:pStyle w:val="3"/>
        <w:rPr>
          <w:lang w:val="sv-SE" w:eastAsia="zh-CN"/>
        </w:rPr>
      </w:pPr>
      <w:r>
        <w:rPr>
          <w:rFonts w:hint="eastAsia"/>
          <w:lang w:eastAsia="zh-CN"/>
        </w:rPr>
        <w:t>2.</w:t>
      </w:r>
      <w:r>
        <w:rPr>
          <w:lang w:eastAsia="zh-CN"/>
        </w:rPr>
        <w:t>2</w:t>
      </w:r>
      <w:r>
        <w:rPr>
          <w:rFonts w:hint="eastAsia"/>
          <w:lang w:eastAsia="zh-CN"/>
        </w:rPr>
        <w:t xml:space="preserve"> </w:t>
      </w:r>
      <w:bookmarkEnd w:id="3"/>
      <w:r>
        <w:rPr>
          <w:lang w:val="sv-SE" w:eastAsia="zh-CN"/>
        </w:rPr>
        <w:t>BSR table definition</w:t>
      </w:r>
    </w:p>
    <w:p>
      <w:pPr>
        <w:rPr>
          <w:lang w:val="sv-SE" w:eastAsia="zh-CN"/>
        </w:rPr>
      </w:pPr>
      <w:r>
        <w:rPr>
          <w:lang w:val="sv-SE" w:eastAsia="zh-CN"/>
        </w:rPr>
        <w:t>Since BSR actually reflects the buffer status of each LCG in uplink and BSR is also an important basis for MAC scheduler to decide the priority and transmission block size during resource allocation, it is necessary to ensure that the introduced XR-specific BSR table can truly reflect the traffic pattern of XR services.</w:t>
      </w:r>
    </w:p>
    <w:p>
      <w:pPr>
        <w:rPr>
          <w:lang w:val="sv-SE" w:eastAsia="zh-CN"/>
        </w:rPr>
      </w:pPr>
      <w:r>
        <w:rPr>
          <w:lang w:val="sv-SE" w:eastAsia="zh-CN"/>
        </w:rPr>
        <w:t xml:space="preserve">In the previous discussion, we have </w:t>
      </w:r>
      <w:r>
        <w:rPr>
          <w:lang w:eastAsia="zh-CN"/>
        </w:rPr>
        <w:t>mentioned</w:t>
      </w:r>
      <w:r>
        <w:rPr>
          <w:lang w:val="sv-SE" w:eastAsia="zh-CN"/>
        </w:rPr>
        <w:t xml:space="preserve"> that the traffic flow of XR uplink mainly includes video frames, voice packets, pose and controller input and other parts of signaling (such as ACK for downlink video frames and data packets, synchronization signaling, etc.)</w:t>
      </w:r>
      <w:r>
        <w:rPr>
          <w:lang w:eastAsia="zh-CN"/>
        </w:rPr>
        <w:t>.</w:t>
      </w:r>
      <w:r>
        <w:rPr>
          <w:lang w:val="sv-SE" w:eastAsia="zh-CN"/>
        </w:rPr>
        <w:t xml:space="preserve"> They all have different probability. In addition, some third-party studies also point out that the video frame size obeys the Gaussian distribution. And in the RAN1 SI  "Study on XR Evaluations for NR"[2], truncated Gaussian distribution are applied for packet size distibution in VR and AR.</w:t>
      </w:r>
      <w: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r>
              <w:t>In Model 1, all AR UL flows are modelled as a single stream with following parameters.</w:t>
            </w:r>
          </w:p>
          <w:p>
            <w:pPr>
              <w:pStyle w:val="50"/>
            </w:pPr>
            <w:bookmarkStart w:id="4" w:name="_Ref83127877"/>
            <w:r>
              <w:t>Table 5.5.2.1-1</w:t>
            </w:r>
            <w:bookmarkEnd w:id="4"/>
            <w:r>
              <w:t>: Statistical parameters for AR UL Model 1 (one stream model)</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1"/>
              <w:gridCol w:w="1750"/>
              <w:gridCol w:w="5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Borders>
                    <w:top w:val="single" w:color="auto" w:sz="4" w:space="0"/>
                    <w:left w:val="single" w:color="auto" w:sz="4" w:space="0"/>
                    <w:bottom w:val="single" w:color="auto" w:sz="4" w:space="0"/>
                    <w:right w:val="single" w:color="auto" w:sz="4" w:space="0"/>
                  </w:tcBorders>
                  <w:shd w:val="clear" w:color="auto" w:fill="E7E6E6"/>
                </w:tcPr>
                <w:p>
                  <w:r>
                    <w:t>Parameters</w:t>
                  </w:r>
                </w:p>
              </w:tc>
              <w:tc>
                <w:tcPr>
                  <w:tcW w:w="1800" w:type="dxa"/>
                  <w:tcBorders>
                    <w:top w:val="single" w:color="auto" w:sz="4" w:space="0"/>
                    <w:left w:val="single" w:color="auto" w:sz="4" w:space="0"/>
                    <w:bottom w:val="single" w:color="auto" w:sz="4" w:space="0"/>
                    <w:right w:val="single" w:color="auto" w:sz="4" w:space="0"/>
                  </w:tcBorders>
                  <w:shd w:val="clear" w:color="auto" w:fill="E7E6E6"/>
                </w:tcPr>
                <w:p>
                  <w:r>
                    <w:t>unit</w:t>
                  </w:r>
                </w:p>
              </w:tc>
              <w:tc>
                <w:tcPr>
                  <w:tcW w:w="5496" w:type="dxa"/>
                  <w:tcBorders>
                    <w:top w:val="single" w:color="auto" w:sz="4" w:space="0"/>
                    <w:left w:val="single" w:color="auto" w:sz="4" w:space="0"/>
                    <w:bottom w:val="single" w:color="auto" w:sz="4" w:space="0"/>
                    <w:right w:val="single" w:color="auto" w:sz="4" w:space="0"/>
                  </w:tcBorders>
                  <w:shd w:val="clear" w:color="auto" w:fill="E7E6E6"/>
                </w:tcPr>
                <w:p>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Borders>
                    <w:top w:val="single" w:color="auto" w:sz="4" w:space="0"/>
                    <w:left w:val="single" w:color="auto" w:sz="4" w:space="0"/>
                    <w:bottom w:val="single" w:color="auto" w:sz="4" w:space="0"/>
                    <w:right w:val="single" w:color="auto" w:sz="4" w:space="0"/>
                  </w:tcBorders>
                </w:tcPr>
                <w:p>
                  <w:r>
                    <w:t>Packet size</w:t>
                  </w:r>
                </w:p>
              </w:tc>
              <w:tc>
                <w:tcPr>
                  <w:tcW w:w="1800" w:type="dxa"/>
                  <w:tcBorders>
                    <w:top w:val="single" w:color="auto" w:sz="4" w:space="0"/>
                    <w:left w:val="single" w:color="auto" w:sz="4" w:space="0"/>
                    <w:bottom w:val="single" w:color="auto" w:sz="4" w:space="0"/>
                    <w:right w:val="single" w:color="auto" w:sz="4" w:space="0"/>
                  </w:tcBorders>
                </w:tcPr>
                <w:p>
                  <w:r>
                    <w:t>byte</w:t>
                  </w:r>
                </w:p>
              </w:tc>
              <w:tc>
                <w:tcPr>
                  <w:tcW w:w="5496" w:type="dxa"/>
                  <w:tcBorders>
                    <w:top w:val="single" w:color="auto" w:sz="4" w:space="0"/>
                    <w:left w:val="single" w:color="auto" w:sz="4" w:space="0"/>
                    <w:bottom w:val="single" w:color="auto" w:sz="4" w:space="0"/>
                    <w:right w:val="single" w:color="auto" w:sz="4" w:space="0"/>
                  </w:tcBorders>
                </w:tcPr>
                <w:p>
                  <w:r>
                    <w:t>Follows clause 5.1.1.1 (i.e., mean packet size = R×1e6 / F / 8, STD/Min/Max=10.5/50/150%)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Borders>
                    <w:top w:val="single" w:color="auto" w:sz="4" w:space="0"/>
                    <w:left w:val="single" w:color="auto" w:sz="4" w:space="0"/>
                    <w:bottom w:val="single" w:color="auto" w:sz="4" w:space="0"/>
                    <w:right w:val="single" w:color="auto" w:sz="4" w:space="0"/>
                  </w:tcBorders>
                </w:tcPr>
                <w:p>
                  <w:r>
                    <w:t xml:space="preserve">packet generation rate: F </w:t>
                  </w:r>
                </w:p>
              </w:tc>
              <w:tc>
                <w:tcPr>
                  <w:tcW w:w="1800" w:type="dxa"/>
                  <w:tcBorders>
                    <w:top w:val="single" w:color="auto" w:sz="4" w:space="0"/>
                    <w:left w:val="single" w:color="auto" w:sz="4" w:space="0"/>
                    <w:bottom w:val="single" w:color="auto" w:sz="4" w:space="0"/>
                    <w:right w:val="single" w:color="auto" w:sz="4" w:space="0"/>
                  </w:tcBorders>
                </w:tcPr>
                <w:p>
                  <w:r>
                    <w:t>Hz</w:t>
                  </w:r>
                </w:p>
              </w:tc>
              <w:tc>
                <w:tcPr>
                  <w:tcW w:w="5496" w:type="dxa"/>
                  <w:tcBorders>
                    <w:top w:val="single" w:color="auto" w:sz="4" w:space="0"/>
                    <w:left w:val="single" w:color="auto" w:sz="4" w:space="0"/>
                    <w:bottom w:val="single" w:color="auto" w:sz="4" w:space="0"/>
                    <w:right w:val="single" w:color="auto" w:sz="4" w:space="0"/>
                  </w:tcBorders>
                </w:tcPr>
                <w:p>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Borders>
                    <w:top w:val="single" w:color="auto" w:sz="4" w:space="0"/>
                    <w:left w:val="single" w:color="auto" w:sz="4" w:space="0"/>
                    <w:bottom w:val="single" w:color="auto" w:sz="4" w:space="0"/>
                    <w:right w:val="single" w:color="auto" w:sz="4" w:space="0"/>
                  </w:tcBorders>
                </w:tcPr>
                <w:p>
                  <w:r>
                    <w:t>Jitter</w:t>
                  </w:r>
                </w:p>
              </w:tc>
              <w:tc>
                <w:tcPr>
                  <w:tcW w:w="1800" w:type="dxa"/>
                  <w:tcBorders>
                    <w:top w:val="single" w:color="auto" w:sz="4" w:space="0"/>
                    <w:left w:val="single" w:color="auto" w:sz="4" w:space="0"/>
                    <w:bottom w:val="single" w:color="auto" w:sz="4" w:space="0"/>
                    <w:right w:val="single" w:color="auto" w:sz="4" w:space="0"/>
                  </w:tcBorders>
                </w:tcPr>
                <w:p>
                  <w:r>
                    <w:t>ms</w:t>
                  </w:r>
                </w:p>
              </w:tc>
              <w:tc>
                <w:tcPr>
                  <w:tcW w:w="5496" w:type="dxa"/>
                  <w:tcBorders>
                    <w:top w:val="single" w:color="auto" w:sz="4" w:space="0"/>
                    <w:left w:val="single" w:color="auto" w:sz="4" w:space="0"/>
                    <w:bottom w:val="single" w:color="auto" w:sz="4" w:space="0"/>
                    <w:right w:val="single" w:color="auto" w:sz="4" w:space="0"/>
                  </w:tcBorders>
                </w:tcPr>
                <w:p>
                  <w:r>
                    <w:t>Optional, follows the description in clause 5.1.1.2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Borders>
                    <w:top w:val="single" w:color="auto" w:sz="4" w:space="0"/>
                    <w:left w:val="single" w:color="auto" w:sz="4" w:space="0"/>
                    <w:bottom w:val="single" w:color="auto" w:sz="4" w:space="0"/>
                    <w:right w:val="single" w:color="auto" w:sz="4" w:space="0"/>
                  </w:tcBorders>
                </w:tcPr>
                <w:p>
                  <w:r>
                    <w:t>Data rate: R</w:t>
                  </w:r>
                </w:p>
              </w:tc>
              <w:tc>
                <w:tcPr>
                  <w:tcW w:w="1800" w:type="dxa"/>
                  <w:tcBorders>
                    <w:top w:val="single" w:color="auto" w:sz="4" w:space="0"/>
                    <w:left w:val="single" w:color="auto" w:sz="4" w:space="0"/>
                    <w:bottom w:val="single" w:color="auto" w:sz="4" w:space="0"/>
                    <w:right w:val="single" w:color="auto" w:sz="4" w:space="0"/>
                  </w:tcBorders>
                </w:tcPr>
                <w:p>
                  <w:r>
                    <w:t>Mbps</w:t>
                  </w:r>
                </w:p>
              </w:tc>
              <w:tc>
                <w:tcPr>
                  <w:tcW w:w="5496" w:type="dxa"/>
                  <w:tcBorders>
                    <w:top w:val="single" w:color="auto" w:sz="4" w:space="0"/>
                    <w:left w:val="single" w:color="auto" w:sz="4" w:space="0"/>
                    <w:bottom w:val="single" w:color="auto" w:sz="4" w:space="0"/>
                    <w:right w:val="single" w:color="auto" w:sz="4" w:space="0"/>
                  </w:tcBorders>
                </w:tcPr>
                <w:p>
                  <w:r>
                    <w:t>10 (baseline), 20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Borders>
                    <w:top w:val="single" w:color="auto" w:sz="4" w:space="0"/>
                    <w:left w:val="single" w:color="auto" w:sz="4" w:space="0"/>
                    <w:bottom w:val="single" w:color="auto" w:sz="4" w:space="0"/>
                    <w:right w:val="single" w:color="auto" w:sz="4" w:space="0"/>
                  </w:tcBorders>
                </w:tcPr>
                <w:p>
                  <w:r>
                    <w:t>PDB</w:t>
                  </w:r>
                </w:p>
              </w:tc>
              <w:tc>
                <w:tcPr>
                  <w:tcW w:w="1800" w:type="dxa"/>
                  <w:tcBorders>
                    <w:top w:val="single" w:color="auto" w:sz="4" w:space="0"/>
                    <w:left w:val="single" w:color="auto" w:sz="4" w:space="0"/>
                    <w:bottom w:val="single" w:color="auto" w:sz="4" w:space="0"/>
                    <w:right w:val="single" w:color="auto" w:sz="4" w:space="0"/>
                  </w:tcBorders>
                </w:tcPr>
                <w:p>
                  <w:r>
                    <w:t>ms</w:t>
                  </w:r>
                </w:p>
              </w:tc>
              <w:tc>
                <w:tcPr>
                  <w:tcW w:w="5496" w:type="dxa"/>
                  <w:tcBorders>
                    <w:top w:val="single" w:color="auto" w:sz="4" w:space="0"/>
                    <w:left w:val="single" w:color="auto" w:sz="4" w:space="0"/>
                    <w:bottom w:val="single" w:color="auto" w:sz="4" w:space="0"/>
                    <w:right w:val="single" w:color="auto" w:sz="4" w:space="0"/>
                  </w:tcBorders>
                </w:tcPr>
                <w:p>
                  <w:r>
                    <w:t>30 (baseline), 10 or 15 or 60 (optional)</w:t>
                  </w:r>
                </w:p>
              </w:tc>
            </w:tr>
          </w:tbl>
          <w:p>
            <w:pPr>
              <w:rPr>
                <w:lang w:val="sv-SE"/>
              </w:rPr>
            </w:pPr>
            <w:r>
              <w:t xml:space="preserve">Note that Model 1 is optional for </w:t>
            </w:r>
            <w:r>
              <w:rPr>
                <w:rFonts w:eastAsia="Gulim"/>
                <w:lang w:eastAsia="ja-JP"/>
              </w:rPr>
              <w:t>power evaluation and baseline for capacity evaluation.</w:t>
            </w:r>
          </w:p>
          <w:p>
            <w:pPr>
              <w:rPr>
                <w:i/>
                <w:iCs/>
                <w:lang w:val="sv-SE"/>
              </w:rPr>
            </w:pPr>
            <w:r>
              <w:rPr>
                <w:i/>
                <w:iCs/>
                <w:lang w:val="sv-SE"/>
              </w:rPr>
              <w:t>Quote from clause 5.1.1.1:</w:t>
            </w:r>
          </w:p>
          <w:p>
            <w:r>
              <w:t>The size of a packet is determined by the given data rates and frame rates, which is modelled as a random variable following truncated Gaussian distribution with following statistical parameters.</w:t>
            </w:r>
          </w:p>
          <w:p>
            <w:pPr>
              <w:pStyle w:val="50"/>
              <w:rPr>
                <w:i/>
                <w:iCs/>
              </w:rPr>
            </w:pPr>
            <w:r>
              <w:t>Table 5.1.1.1-1: Statistical parameters for packet size following truncated Gaussian distribution</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5"/>
              <w:gridCol w:w="1635"/>
              <w:gridCol w:w="1995"/>
              <w:gridCol w:w="3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tcBorders>
                    <w:top w:val="single" w:color="auto" w:sz="4" w:space="0"/>
                    <w:left w:val="single" w:color="auto" w:sz="4" w:space="0"/>
                    <w:bottom w:val="single" w:color="auto" w:sz="4" w:space="0"/>
                    <w:right w:val="single" w:color="auto" w:sz="4" w:space="0"/>
                  </w:tcBorders>
                  <w:shd w:val="clear" w:color="auto" w:fill="E7E6E6"/>
                </w:tcPr>
                <w:p>
                  <w:pPr>
                    <w:pStyle w:val="41"/>
                  </w:pPr>
                  <w:r>
                    <w:t>Parameter</w:t>
                  </w:r>
                </w:p>
              </w:tc>
              <w:tc>
                <w:tcPr>
                  <w:tcW w:w="1635" w:type="dxa"/>
                  <w:tcBorders>
                    <w:top w:val="single" w:color="auto" w:sz="4" w:space="0"/>
                    <w:left w:val="single" w:color="auto" w:sz="4" w:space="0"/>
                    <w:bottom w:val="single" w:color="auto" w:sz="4" w:space="0"/>
                    <w:right w:val="single" w:color="auto" w:sz="4" w:space="0"/>
                  </w:tcBorders>
                  <w:shd w:val="clear" w:color="auto" w:fill="E7E6E6"/>
                </w:tcPr>
                <w:p>
                  <w:pPr>
                    <w:pStyle w:val="41"/>
                  </w:pPr>
                  <w:r>
                    <w:t>unit</w:t>
                  </w:r>
                </w:p>
              </w:tc>
              <w:tc>
                <w:tcPr>
                  <w:tcW w:w="1995" w:type="dxa"/>
                  <w:tcBorders>
                    <w:top w:val="single" w:color="auto" w:sz="4" w:space="0"/>
                    <w:left w:val="single" w:color="auto" w:sz="4" w:space="0"/>
                    <w:bottom w:val="single" w:color="auto" w:sz="4" w:space="0"/>
                    <w:right w:val="single" w:color="auto" w:sz="4" w:space="0"/>
                  </w:tcBorders>
                  <w:shd w:val="clear" w:color="auto" w:fill="E7E6E6"/>
                </w:tcPr>
                <w:p>
                  <w:pPr>
                    <w:pStyle w:val="41"/>
                  </w:pPr>
                  <w:r>
                    <w:t>Baseline values for evaluation</w:t>
                  </w:r>
                </w:p>
              </w:tc>
              <w:tc>
                <w:tcPr>
                  <w:tcW w:w="3421" w:type="dxa"/>
                  <w:tcBorders>
                    <w:top w:val="single" w:color="auto" w:sz="4" w:space="0"/>
                    <w:left w:val="single" w:color="auto" w:sz="4" w:space="0"/>
                    <w:bottom w:val="single" w:color="auto" w:sz="4" w:space="0"/>
                    <w:right w:val="single" w:color="auto" w:sz="4" w:space="0"/>
                  </w:tcBorders>
                  <w:shd w:val="clear" w:color="auto" w:fill="E7E6E6"/>
                </w:tcPr>
                <w:p>
                  <w:pPr>
                    <w:pStyle w:val="41"/>
                  </w:pPr>
                  <w:r>
                    <w:t>Optional values for evaluation for single eye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35" w:type="dxa"/>
                  <w:tcBorders>
                    <w:top w:val="single" w:color="auto" w:sz="4" w:space="0"/>
                    <w:left w:val="single" w:color="auto" w:sz="4" w:space="0"/>
                    <w:bottom w:val="single" w:color="auto" w:sz="4" w:space="0"/>
                    <w:right w:val="single" w:color="auto" w:sz="4" w:space="0"/>
                  </w:tcBorders>
                </w:tcPr>
                <w:p>
                  <w:pPr>
                    <w:pStyle w:val="40"/>
                    <w:jc w:val="center"/>
                  </w:pPr>
                  <w:r>
                    <w:t>Mean: M</w:t>
                  </w:r>
                </w:p>
              </w:tc>
              <w:tc>
                <w:tcPr>
                  <w:tcW w:w="1635" w:type="dxa"/>
                  <w:tcBorders>
                    <w:top w:val="single" w:color="auto" w:sz="4" w:space="0"/>
                    <w:left w:val="single" w:color="auto" w:sz="4" w:space="0"/>
                    <w:bottom w:val="single" w:color="auto" w:sz="4" w:space="0"/>
                    <w:right w:val="single" w:color="auto" w:sz="4" w:space="0"/>
                  </w:tcBorders>
                </w:tcPr>
                <w:p>
                  <w:pPr>
                    <w:pStyle w:val="40"/>
                    <w:jc w:val="center"/>
                  </w:pPr>
                  <w:r>
                    <w:t>byte</w:t>
                  </w:r>
                </w:p>
              </w:tc>
              <w:tc>
                <w:tcPr>
                  <w:tcW w:w="1995" w:type="dxa"/>
                  <w:tcBorders>
                    <w:top w:val="single" w:color="auto" w:sz="4" w:space="0"/>
                    <w:left w:val="single" w:color="auto" w:sz="4" w:space="0"/>
                    <w:bottom w:val="single" w:color="auto" w:sz="4" w:space="0"/>
                    <w:right w:val="single" w:color="auto" w:sz="4" w:space="0"/>
                  </w:tcBorders>
                </w:tcPr>
                <w:p>
                  <w:pPr>
                    <w:pStyle w:val="40"/>
                    <w:jc w:val="center"/>
                  </w:pPr>
                  <w:r>
                    <w:t>R×1e6 / F / 8</w:t>
                  </w:r>
                </w:p>
              </w:tc>
              <w:tc>
                <w:tcPr>
                  <w:tcW w:w="3421" w:type="dxa"/>
                  <w:tcBorders>
                    <w:top w:val="single" w:color="auto" w:sz="4" w:space="0"/>
                    <w:left w:val="single" w:color="auto" w:sz="4" w:space="0"/>
                    <w:bottom w:val="single" w:color="auto" w:sz="4" w:space="0"/>
                    <w:right w:val="single" w:color="auto" w:sz="4" w:space="0"/>
                  </w:tcBorders>
                </w:tcPr>
                <w:p>
                  <w:pPr>
                    <w:pStyle w:val="40"/>
                    <w:jc w:val="center"/>
                  </w:pPr>
                  <w:r>
                    <w:t>R×1e6 / F /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tcBorders>
                    <w:top w:val="single" w:color="auto" w:sz="4" w:space="0"/>
                    <w:left w:val="single" w:color="auto" w:sz="4" w:space="0"/>
                    <w:bottom w:val="single" w:color="auto" w:sz="4" w:space="0"/>
                    <w:right w:val="single" w:color="auto" w:sz="4" w:space="0"/>
                  </w:tcBorders>
                </w:tcPr>
                <w:p>
                  <w:pPr>
                    <w:pStyle w:val="40"/>
                    <w:jc w:val="center"/>
                  </w:pPr>
                  <w:r>
                    <w:t>STD</w:t>
                  </w:r>
                </w:p>
              </w:tc>
              <w:tc>
                <w:tcPr>
                  <w:tcW w:w="1635" w:type="dxa"/>
                  <w:tcBorders>
                    <w:top w:val="single" w:color="auto" w:sz="4" w:space="0"/>
                    <w:left w:val="single" w:color="auto" w:sz="4" w:space="0"/>
                    <w:bottom w:val="single" w:color="auto" w:sz="4" w:space="0"/>
                    <w:right w:val="single" w:color="auto" w:sz="4" w:space="0"/>
                  </w:tcBorders>
                </w:tcPr>
                <w:p>
                  <w:pPr>
                    <w:pStyle w:val="40"/>
                    <w:jc w:val="center"/>
                  </w:pPr>
                  <w:r>
                    <w:t>byte</w:t>
                  </w:r>
                </w:p>
              </w:tc>
              <w:tc>
                <w:tcPr>
                  <w:tcW w:w="1995" w:type="dxa"/>
                  <w:tcBorders>
                    <w:top w:val="single" w:color="auto" w:sz="4" w:space="0"/>
                    <w:left w:val="single" w:color="auto" w:sz="4" w:space="0"/>
                    <w:bottom w:val="single" w:color="auto" w:sz="4" w:space="0"/>
                    <w:right w:val="single" w:color="auto" w:sz="4" w:space="0"/>
                  </w:tcBorders>
                </w:tcPr>
                <w:p>
                  <w:pPr>
                    <w:pStyle w:val="40"/>
                    <w:jc w:val="center"/>
                  </w:pPr>
                  <w:r>
                    <w:t>10.5% of M</w:t>
                  </w:r>
                </w:p>
              </w:tc>
              <w:tc>
                <w:tcPr>
                  <w:tcW w:w="3421" w:type="dxa"/>
                  <w:tcBorders>
                    <w:top w:val="single" w:color="auto" w:sz="4" w:space="0"/>
                    <w:left w:val="single" w:color="auto" w:sz="4" w:space="0"/>
                    <w:bottom w:val="single" w:color="auto" w:sz="4" w:space="0"/>
                    <w:right w:val="single" w:color="auto" w:sz="4" w:space="0"/>
                  </w:tcBorders>
                </w:tcPr>
                <w:p>
                  <w:pPr>
                    <w:pStyle w:val="40"/>
                    <w:jc w:val="center"/>
                  </w:pPr>
                  <w:r>
                    <w:rPr>
                      <w:lang w:eastAsia="zh-CN"/>
                    </w:rPr>
                    <w:t>3</w:t>
                  </w:r>
                  <w:r>
                    <w:t xml:space="preserve"> % of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tcBorders>
                    <w:top w:val="single" w:color="auto" w:sz="4" w:space="0"/>
                    <w:left w:val="single" w:color="auto" w:sz="4" w:space="0"/>
                    <w:bottom w:val="single" w:color="auto" w:sz="4" w:space="0"/>
                    <w:right w:val="single" w:color="auto" w:sz="4" w:space="0"/>
                  </w:tcBorders>
                </w:tcPr>
                <w:p>
                  <w:pPr>
                    <w:pStyle w:val="40"/>
                    <w:jc w:val="center"/>
                  </w:pPr>
                  <w:r>
                    <w:t>Max</w:t>
                  </w:r>
                </w:p>
              </w:tc>
              <w:tc>
                <w:tcPr>
                  <w:tcW w:w="1635" w:type="dxa"/>
                  <w:tcBorders>
                    <w:top w:val="single" w:color="auto" w:sz="4" w:space="0"/>
                    <w:left w:val="single" w:color="auto" w:sz="4" w:space="0"/>
                    <w:bottom w:val="single" w:color="auto" w:sz="4" w:space="0"/>
                    <w:right w:val="single" w:color="auto" w:sz="4" w:space="0"/>
                  </w:tcBorders>
                </w:tcPr>
                <w:p>
                  <w:pPr>
                    <w:pStyle w:val="40"/>
                    <w:jc w:val="center"/>
                  </w:pPr>
                  <w:r>
                    <w:t>byte</w:t>
                  </w:r>
                </w:p>
              </w:tc>
              <w:tc>
                <w:tcPr>
                  <w:tcW w:w="1995" w:type="dxa"/>
                  <w:tcBorders>
                    <w:top w:val="single" w:color="auto" w:sz="4" w:space="0"/>
                    <w:left w:val="single" w:color="auto" w:sz="4" w:space="0"/>
                    <w:bottom w:val="single" w:color="auto" w:sz="4" w:space="0"/>
                    <w:right w:val="single" w:color="auto" w:sz="4" w:space="0"/>
                  </w:tcBorders>
                </w:tcPr>
                <w:p>
                  <w:pPr>
                    <w:pStyle w:val="40"/>
                    <w:jc w:val="center"/>
                  </w:pPr>
                  <w:r>
                    <w:t>150% of M</w:t>
                  </w:r>
                </w:p>
              </w:tc>
              <w:tc>
                <w:tcPr>
                  <w:tcW w:w="3421" w:type="dxa"/>
                  <w:tcBorders>
                    <w:top w:val="single" w:color="auto" w:sz="4" w:space="0"/>
                    <w:left w:val="single" w:color="auto" w:sz="4" w:space="0"/>
                    <w:bottom w:val="single" w:color="auto" w:sz="4" w:space="0"/>
                    <w:right w:val="single" w:color="auto" w:sz="4" w:space="0"/>
                  </w:tcBorders>
                </w:tcPr>
                <w:p>
                  <w:pPr>
                    <w:pStyle w:val="40"/>
                    <w:jc w:val="center"/>
                  </w:pPr>
                  <w:r>
                    <w:rPr>
                      <w:lang w:eastAsia="zh-CN"/>
                    </w:rPr>
                    <w:t>109</w:t>
                  </w:r>
                  <w:r>
                    <w:t>% of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35" w:type="dxa"/>
                  <w:tcBorders>
                    <w:top w:val="single" w:color="auto" w:sz="4" w:space="0"/>
                    <w:left w:val="single" w:color="auto" w:sz="4" w:space="0"/>
                    <w:bottom w:val="single" w:color="auto" w:sz="4" w:space="0"/>
                    <w:right w:val="single" w:color="auto" w:sz="4" w:space="0"/>
                  </w:tcBorders>
                </w:tcPr>
                <w:p>
                  <w:pPr>
                    <w:pStyle w:val="40"/>
                    <w:jc w:val="center"/>
                  </w:pPr>
                  <w:r>
                    <w:t>Min</w:t>
                  </w:r>
                </w:p>
              </w:tc>
              <w:tc>
                <w:tcPr>
                  <w:tcW w:w="1635" w:type="dxa"/>
                  <w:tcBorders>
                    <w:top w:val="single" w:color="auto" w:sz="4" w:space="0"/>
                    <w:left w:val="single" w:color="auto" w:sz="4" w:space="0"/>
                    <w:bottom w:val="single" w:color="auto" w:sz="4" w:space="0"/>
                    <w:right w:val="single" w:color="auto" w:sz="4" w:space="0"/>
                  </w:tcBorders>
                </w:tcPr>
                <w:p>
                  <w:pPr>
                    <w:pStyle w:val="40"/>
                    <w:jc w:val="center"/>
                  </w:pPr>
                  <w:r>
                    <w:t>byte</w:t>
                  </w:r>
                </w:p>
              </w:tc>
              <w:tc>
                <w:tcPr>
                  <w:tcW w:w="1995" w:type="dxa"/>
                  <w:tcBorders>
                    <w:top w:val="single" w:color="auto" w:sz="4" w:space="0"/>
                    <w:left w:val="single" w:color="auto" w:sz="4" w:space="0"/>
                    <w:bottom w:val="single" w:color="auto" w:sz="4" w:space="0"/>
                    <w:right w:val="single" w:color="auto" w:sz="4" w:space="0"/>
                  </w:tcBorders>
                </w:tcPr>
                <w:p>
                  <w:pPr>
                    <w:pStyle w:val="40"/>
                    <w:jc w:val="center"/>
                  </w:pPr>
                  <w:r>
                    <w:t>50% of M</w:t>
                  </w:r>
                </w:p>
              </w:tc>
              <w:tc>
                <w:tcPr>
                  <w:tcW w:w="3421" w:type="dxa"/>
                  <w:tcBorders>
                    <w:top w:val="single" w:color="auto" w:sz="4" w:space="0"/>
                    <w:left w:val="single" w:color="auto" w:sz="4" w:space="0"/>
                    <w:bottom w:val="single" w:color="auto" w:sz="4" w:space="0"/>
                    <w:right w:val="single" w:color="auto" w:sz="4" w:space="0"/>
                  </w:tcBorders>
                </w:tcPr>
                <w:p>
                  <w:pPr>
                    <w:pStyle w:val="40"/>
                    <w:jc w:val="center"/>
                  </w:pPr>
                  <w:r>
                    <w:rPr>
                      <w:lang w:eastAsia="zh-CN"/>
                    </w:rPr>
                    <w:t>91</w:t>
                  </w:r>
                  <w:r>
                    <w:t>% of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8686" w:type="dxa"/>
                  <w:gridSpan w:val="4"/>
                  <w:tcBorders>
                    <w:top w:val="single" w:color="auto" w:sz="4" w:space="0"/>
                    <w:left w:val="single" w:color="auto" w:sz="4" w:space="0"/>
                    <w:bottom w:val="single" w:color="auto" w:sz="4" w:space="0"/>
                    <w:right w:val="single" w:color="auto" w:sz="4" w:space="0"/>
                  </w:tcBorders>
                </w:tcPr>
                <w:p>
                  <w:pPr>
                    <w:pStyle w:val="55"/>
                  </w:pPr>
                  <w:r>
                    <w:t>R: data rate of the flow in Mbps.</w:t>
                  </w:r>
                </w:p>
                <w:p>
                  <w:pPr>
                    <w:pStyle w:val="55"/>
                  </w:pPr>
                  <w:r>
                    <w:t>F: frame generation rate of the flow in fps.</w:t>
                  </w:r>
                </w:p>
                <w:p>
                  <w:pPr>
                    <w:pStyle w:val="55"/>
                  </w:pPr>
                  <w:r>
                    <w:t>Note that the mean and STD apply before truncation applies.</w:t>
                  </w:r>
                </w:p>
                <w:p>
                  <w:pPr>
                    <w:pStyle w:val="55"/>
                  </w:pPr>
                  <w:r>
                    <w:t>Note that the value of R, F depend on application.</w:t>
                  </w:r>
                </w:p>
              </w:tc>
            </w:tr>
          </w:tbl>
          <w:p>
            <w:pPr>
              <w:rPr>
                <w:lang w:val="en-GB"/>
              </w:rPr>
            </w:pPr>
          </w:p>
          <w:p>
            <w:pPr>
              <w:rPr>
                <w:rFonts w:hint="eastAsia"/>
              </w:rPr>
            </w:pPr>
            <w:r>
              <w:t>Exploration to other distributions for packet size are left up to each company and could be reported with the modelling details.</w:t>
            </w:r>
          </w:p>
        </w:tc>
      </w:tr>
    </w:tbl>
    <w:p>
      <w:pPr>
        <w:rPr>
          <w:lang w:val="sv-SE" w:eastAsia="zh-CN"/>
        </w:rPr>
      </w:pPr>
      <w:r>
        <w:rPr>
          <w:lang w:val="sv-SE" w:eastAsia="zh-CN"/>
        </w:rPr>
        <w:t>Therefore, if a new BSR table is introduced, BSR table with Gaussian distribution should be included.</w:t>
      </w:r>
      <w:r>
        <w:rPr>
          <w:rFonts w:hint="eastAsia"/>
          <w:lang w:val="sv-SE" w:eastAsia="zh-CN"/>
        </w:rPr>
        <w:t xml:space="preserve"> </w:t>
      </w:r>
      <w:r>
        <w:rPr>
          <w:lang w:val="sv-SE" w:eastAsia="zh-CN"/>
        </w:rPr>
        <w:t>Considering other data in uplink, such as voice packets and pose data, the Uniform distribution (Linear) should also be introduced.</w:t>
      </w:r>
    </w:p>
    <w:p>
      <w:pPr>
        <w:rPr>
          <w:b/>
          <w:bCs/>
          <w:lang w:val="sv-SE" w:eastAsia="zh-CN"/>
        </w:rPr>
      </w:pPr>
      <w:r>
        <w:rPr>
          <w:b/>
          <w:bCs/>
          <w:lang w:val="sv-SE" w:eastAsia="zh-CN"/>
        </w:rPr>
        <w:t>Proposal 3: Introduce at least 2 new BSR tables, one is Gaussian, the other can be linear or exponential.</w:t>
      </w:r>
    </w:p>
    <w:p>
      <w:pPr>
        <w:rPr>
          <w:lang w:val="sv-SE" w:eastAsia="zh-CN"/>
        </w:rPr>
      </w:pPr>
      <w:r>
        <w:rPr>
          <w:lang w:val="sv-SE" w:eastAsia="zh-CN"/>
        </w:rPr>
        <w:t>With the introduction of multiple configurable semi-static BSR tables, both the UE and NW have the ability to select the appropriate BSR table. In order to reduce the quantization error, and to avoid any mismatch in the BSR tables used by UE and NW, the UE and the NW should inform the each other the BSR table they intend to use. It is reasonable to generate the same BSR table at both the UE and the NW through a predefined mechanism and only transfer limited parameters for BSR table.</w:t>
      </w:r>
    </w:p>
    <w:p>
      <w:pPr>
        <w:rPr>
          <w:b/>
          <w:bCs/>
          <w:lang w:val="sv-SE" w:eastAsia="zh-CN"/>
        </w:rPr>
      </w:pPr>
      <w:r>
        <w:rPr>
          <w:b/>
          <w:bCs/>
          <w:lang w:val="sv-SE" w:eastAsia="zh-CN"/>
        </w:rPr>
        <w:t>Observation 2: Transfer complete BSR table between RAN and UE can cause extra signaling overhead and should be precluded.</w:t>
      </w:r>
    </w:p>
    <w:p>
      <w:pPr>
        <w:rPr>
          <w:lang w:val="sv-SE" w:eastAsia="zh-CN"/>
        </w:rPr>
      </w:pPr>
      <w:r>
        <w:rPr>
          <w:lang w:val="sv-SE" w:eastAsia="zh-CN"/>
        </w:rPr>
        <w:t>Since it is not appropriate to transfer the complete BSR table between UE and NW, it is necessary to generate the BSR table using a finite number of parameters. Considering that the new BSR table introduced is Gaussian, linear or exponetial, when the BSR format is determined (i.e. when the maximum supported buffer level or the max length of buffer level in BSR MAC CE is determined), it is possible to generate the BSR table using the maximum or minimum value.</w:t>
      </w:r>
    </w:p>
    <w:p>
      <w:pPr>
        <w:rPr>
          <w:lang w:val="sv-SE" w:eastAsia="zh-CN"/>
        </w:rPr>
      </w:pPr>
      <w:r>
        <w:rPr>
          <w:lang w:val="sv-SE" w:eastAsia="zh-CN"/>
        </w:rPr>
        <w:t>In addition, the UE needs to inform the scheduler via BSR that there is no more uplink data in its buffer to be sent in order to prevent the NW scheduler from scheduling user with no data available, the minimum buffer level corresponds 0 buffer size, as designed in the current TS 38.321.</w:t>
      </w:r>
    </w:p>
    <w:p>
      <w:pPr>
        <w:rPr>
          <w:b/>
          <w:bCs/>
          <w:lang w:val="sv-SE" w:eastAsia="zh-CN"/>
        </w:rPr>
      </w:pPr>
      <w:r>
        <w:rPr>
          <w:b/>
          <w:bCs/>
          <w:lang w:val="sv-SE" w:eastAsia="zh-CN"/>
        </w:rPr>
        <w:t>Proposal 4:  Bmin, Bmax can be used for BSR table generation and configuration, in which Bmin stands for the minimal none zero value of buffer size, Bmax stands for the maximum value of buffer size.</w:t>
      </w:r>
    </w:p>
    <w:p>
      <w:pPr>
        <w:rPr>
          <w:lang w:val="sv-SE" w:eastAsia="zh-CN"/>
        </w:rPr>
      </w:pPr>
      <w:r>
        <w:rPr>
          <w:lang w:val="sv-SE" w:eastAsia="zh-CN"/>
        </w:rPr>
        <w:t xml:space="preserve">The current BSR table definition and BSR MAC CE format are corresponding, </w:t>
      </w:r>
      <w:r>
        <w:rPr>
          <w:rFonts w:hint="eastAsia"/>
          <w:lang w:val="sv-SE" w:eastAsia="zh-CN"/>
        </w:rPr>
        <w:t>the</w:t>
      </w:r>
      <w:r>
        <w:rPr>
          <w:lang w:val="sv-SE" w:eastAsia="zh-CN"/>
        </w:rPr>
        <w:t xml:space="preserve"> </w:t>
      </w:r>
      <w:r>
        <w:rPr>
          <w:rFonts w:hint="eastAsia"/>
          <w:lang w:val="sv-SE" w:eastAsia="zh-CN"/>
        </w:rPr>
        <w:t>buffer</w:t>
      </w:r>
      <w:r>
        <w:rPr>
          <w:lang w:val="sv-SE" w:eastAsia="zh-CN"/>
        </w:rPr>
        <w:t xml:space="preserve"> </w:t>
      </w:r>
      <w:r>
        <w:rPr>
          <w:rFonts w:hint="eastAsia"/>
          <w:lang w:val="sv-SE" w:eastAsia="zh-CN"/>
        </w:rPr>
        <w:t>length</w:t>
      </w:r>
      <w:r>
        <w:rPr>
          <w:lang w:val="sv-SE" w:eastAsia="zh-CN"/>
        </w:rPr>
        <w:t xml:space="preserve"> </w:t>
      </w:r>
      <w:r>
        <w:rPr>
          <w:rFonts w:hint="eastAsia"/>
          <w:lang w:val="sv-SE" w:eastAsia="zh-CN"/>
        </w:rPr>
        <w:t>in</w:t>
      </w:r>
      <w:r>
        <w:rPr>
          <w:lang w:val="sv-SE" w:eastAsia="zh-CN"/>
        </w:rPr>
        <w:t xml:space="preserve"> </w:t>
      </w:r>
      <w:r>
        <w:rPr>
          <w:rFonts w:hint="eastAsia"/>
          <w:lang w:val="sv-SE" w:eastAsia="zh-CN"/>
        </w:rPr>
        <w:t>the</w:t>
      </w:r>
      <w:r>
        <w:rPr>
          <w:lang w:val="sv-SE" w:eastAsia="zh-CN"/>
        </w:rPr>
        <w:t xml:space="preserve"> </w:t>
      </w:r>
      <w:r>
        <w:rPr>
          <w:rFonts w:hint="eastAsia"/>
          <w:lang w:val="sv-SE" w:eastAsia="zh-CN"/>
        </w:rPr>
        <w:t>only</w:t>
      </w:r>
      <w:r>
        <w:rPr>
          <w:lang w:val="sv-SE" w:eastAsia="zh-CN"/>
        </w:rPr>
        <w:t xml:space="preserve"> </w:t>
      </w:r>
      <w:r>
        <w:rPr>
          <w:rFonts w:hint="eastAsia"/>
          <w:lang w:val="sv-SE" w:eastAsia="zh-CN"/>
        </w:rPr>
        <w:t>two</w:t>
      </w:r>
      <w:r>
        <w:rPr>
          <w:lang w:val="sv-SE" w:eastAsia="zh-CN"/>
        </w:rPr>
        <w:t xml:space="preserve"> </w:t>
      </w:r>
      <w:r>
        <w:rPr>
          <w:rFonts w:hint="eastAsia"/>
          <w:lang w:val="sv-SE" w:eastAsia="zh-CN"/>
        </w:rPr>
        <w:t>BSR</w:t>
      </w:r>
      <w:r>
        <w:rPr>
          <w:lang w:val="sv-SE" w:eastAsia="zh-CN"/>
        </w:rPr>
        <w:t xml:space="preserve"> </w:t>
      </w:r>
      <w:r>
        <w:rPr>
          <w:rFonts w:hint="eastAsia"/>
          <w:lang w:val="sv-SE" w:eastAsia="zh-CN"/>
        </w:rPr>
        <w:t>MAC</w:t>
      </w:r>
      <w:r>
        <w:rPr>
          <w:lang w:val="sv-SE" w:eastAsia="zh-CN"/>
        </w:rPr>
        <w:t xml:space="preserve"> </w:t>
      </w:r>
      <w:r>
        <w:rPr>
          <w:rFonts w:hint="eastAsia"/>
          <w:lang w:val="sv-SE" w:eastAsia="zh-CN"/>
        </w:rPr>
        <w:t>CE</w:t>
      </w:r>
      <w:r>
        <w:rPr>
          <w:lang w:val="sv-SE" w:eastAsia="zh-CN"/>
        </w:rPr>
        <w:t xml:space="preserve"> </w:t>
      </w:r>
      <w:r>
        <w:rPr>
          <w:rFonts w:hint="eastAsia"/>
          <w:lang w:val="sv-SE" w:eastAsia="zh-CN"/>
        </w:rPr>
        <w:t>format</w:t>
      </w:r>
      <w:r>
        <w:rPr>
          <w:lang w:val="sv-SE" w:eastAsia="zh-CN"/>
        </w:rPr>
        <w:t xml:space="preserve"> </w:t>
      </w:r>
      <w:r>
        <w:rPr>
          <w:rFonts w:hint="eastAsia"/>
          <w:lang w:val="sv-SE" w:eastAsia="zh-CN"/>
        </w:rPr>
        <w:t>is</w:t>
      </w:r>
      <w:r>
        <w:rPr>
          <w:lang w:val="sv-SE" w:eastAsia="zh-CN"/>
        </w:rPr>
        <w:t xml:space="preserve"> 5 </w:t>
      </w:r>
      <w:r>
        <w:rPr>
          <w:rFonts w:hint="eastAsia"/>
          <w:lang w:val="sv-SE" w:eastAsia="zh-CN"/>
        </w:rPr>
        <w:t>bit</w:t>
      </w:r>
      <w:r>
        <w:rPr>
          <w:lang w:val="sv-SE" w:eastAsia="zh-CN"/>
        </w:rPr>
        <w:t xml:space="preserve"> </w:t>
      </w:r>
      <w:r>
        <w:rPr>
          <w:rFonts w:hint="eastAsia"/>
          <w:lang w:val="sv-SE" w:eastAsia="zh-CN"/>
        </w:rPr>
        <w:t>and</w:t>
      </w:r>
      <w:r>
        <w:rPr>
          <w:lang w:val="sv-SE" w:eastAsia="zh-CN"/>
        </w:rPr>
        <w:t xml:space="preserve"> 8 </w:t>
      </w:r>
      <w:r>
        <w:rPr>
          <w:rFonts w:hint="eastAsia"/>
          <w:lang w:val="sv-SE" w:eastAsia="zh-CN"/>
        </w:rPr>
        <w:t>bit</w:t>
      </w:r>
      <w:r>
        <w:rPr>
          <w:lang w:val="sv-SE" w:eastAsia="zh-CN"/>
        </w:rPr>
        <w:t xml:space="preserve">, and the shape of these two tables are </w:t>
      </w:r>
      <w:r>
        <w:rPr>
          <w:rFonts w:hint="eastAsia"/>
          <w:lang w:val="sv-SE" w:eastAsia="zh-CN"/>
        </w:rPr>
        <w:t>both</w:t>
      </w:r>
      <w:r>
        <w:rPr>
          <w:lang w:val="sv-SE" w:eastAsia="zh-CN"/>
        </w:rPr>
        <w:t xml:space="preserve"> exponetial.</w:t>
      </w:r>
    </w:p>
    <w:p>
      <w:pPr>
        <w:rPr>
          <w:lang w:val="sv-SE" w:eastAsia="zh-CN"/>
        </w:rPr>
      </w:pPr>
      <w:r>
        <w:rPr>
          <w:lang w:val="sv-SE" w:eastAsia="zh-CN"/>
        </w:rPr>
        <w:t>Considering that BSR MAC CE is the one of the most common MAC CEs in uplink ( also because BSR is easily triggered), we would not like to see excessive signaling overhead caused by BSR MAC CE when enhancing feedback for XR. Also, for implementation reasons (for memory and CPU address bus aligement), the newly introduced BSR MAC CE should be 8 bit alignment. Considering that the 24 bits of buffer level already allows the terminal to report its cache value directly (&lt;16MiB), the buffer size field in the newly introduced BSR MAC CE can only be 16 bit or 8 bit.</w:t>
      </w:r>
    </w:p>
    <w:p>
      <w:pPr>
        <w:rPr>
          <w:rFonts w:hint="eastAsia"/>
          <w:b/>
          <w:bCs/>
          <w:lang w:val="sv-SE" w:eastAsia="zh-CN"/>
        </w:rPr>
      </w:pPr>
      <w:r>
        <w:rPr>
          <w:b/>
          <w:bCs/>
          <w:lang w:val="sv-SE" w:eastAsia="zh-CN"/>
        </w:rPr>
        <w:t>Proposal 5: New BSR MAC CE format's maximum length of buffer level should not be longer than 16 bit.</w:t>
      </w:r>
    </w:p>
    <w:p>
      <w:pPr>
        <w:pStyle w:val="3"/>
        <w:rPr>
          <w:lang w:val="sv-SE" w:eastAsia="zh-CN"/>
        </w:rPr>
      </w:pPr>
      <w:r>
        <w:rPr>
          <w:rFonts w:hint="eastAsia"/>
          <w:lang w:eastAsia="zh-CN"/>
        </w:rPr>
        <w:t>2.</w:t>
      </w:r>
      <w:r>
        <w:rPr>
          <w:lang w:eastAsia="zh-CN"/>
        </w:rPr>
        <w:t>3</w:t>
      </w:r>
      <w:r>
        <w:rPr>
          <w:rFonts w:hint="eastAsia"/>
          <w:lang w:eastAsia="zh-CN"/>
        </w:rPr>
        <w:t xml:space="preserve"> </w:t>
      </w:r>
      <w:r>
        <w:rPr>
          <w:lang w:eastAsia="zh-CN"/>
        </w:rPr>
        <w:t>R</w:t>
      </w:r>
      <w:r>
        <w:rPr>
          <w:lang w:val="sv-SE" w:eastAsia="zh-CN"/>
        </w:rPr>
        <w:t>eporting granularity and Delay/remaining time in BSR</w:t>
      </w:r>
    </w:p>
    <w:p>
      <w:pPr>
        <w:rPr>
          <w:lang w:val="sv-SE" w:eastAsia="zh-CN"/>
        </w:rPr>
      </w:pPr>
      <w:r>
        <w:rPr>
          <w:lang w:val="sv-SE" w:eastAsia="zh-CN"/>
        </w:rPr>
        <w:t>Due to the limited length of the BSR MAC CE</w:t>
      </w:r>
      <w:r>
        <w:rPr>
          <w:lang w:eastAsia="zh-CN"/>
        </w:rPr>
        <w:t>, BSR</w:t>
      </w:r>
      <w:r>
        <w:rPr>
          <w:lang w:val="sv-SE" w:eastAsia="zh-CN"/>
        </w:rPr>
        <w:t xml:space="preserve"> cannot report per LCH buffer size, LCG is applied for representing serveal LCG</w:t>
      </w:r>
      <w:r>
        <w:rPr>
          <w:lang w:eastAsia="zh-CN"/>
        </w:rPr>
        <w:t xml:space="preserve">. </w:t>
      </w:r>
      <w:r>
        <w:rPr>
          <w:lang w:val="sv-SE" w:eastAsia="zh-CN"/>
        </w:rPr>
        <w:t>Hence the priority of the data is also presented by LCG in uplink.</w:t>
      </w:r>
    </w:p>
    <w:p>
      <w:pPr>
        <w:rPr>
          <w:lang w:val="sv-SE" w:eastAsia="zh-CN"/>
        </w:rPr>
      </w:pPr>
      <w:r>
        <w:rPr>
          <w:lang w:val="sv-SE" w:eastAsia="zh-CN"/>
        </w:rPr>
        <w:t>Considering that different LCHs in the same LCG may transmit XR data with different characteristics (e.g., audio/video and control data on different LCHs belong to a same LCG) and that XR and non-XR data may be transmitted in the same LCG, the introduction of per LCH upstream is necessary. When the network considers that the LCH is required to report its buffer or delay information, the network should issue a configuration to UE to allow it to report the BSR of the per LCH.</w:t>
      </w:r>
    </w:p>
    <w:p>
      <w:pPr>
        <w:rPr>
          <w:b/>
          <w:bCs/>
          <w:lang w:eastAsia="zh-CN"/>
        </w:rPr>
      </w:pPr>
      <w:r>
        <w:rPr>
          <w:b/>
          <w:bCs/>
          <w:lang w:eastAsia="zh-CN"/>
        </w:rPr>
        <w:t>Observation 3: F</w:t>
      </w:r>
      <w:r>
        <w:rPr>
          <w:rFonts w:hint="eastAsia"/>
          <w:b/>
          <w:bCs/>
          <w:lang w:eastAsia="zh-CN"/>
        </w:rPr>
        <w:t>or</w:t>
      </w:r>
      <w:r>
        <w:rPr>
          <w:b/>
          <w:bCs/>
          <w:lang w:eastAsia="zh-CN"/>
        </w:rPr>
        <w:t xml:space="preserve"> BSR enhancement, per LCH reporting is necessary but only if NW configured to do so.</w:t>
      </w:r>
    </w:p>
    <w:p>
      <w:pPr>
        <w:rPr>
          <w:b/>
          <w:bCs/>
          <w:lang w:eastAsia="zh-CN"/>
        </w:rPr>
      </w:pPr>
      <w:r>
        <w:rPr>
          <w:b/>
          <w:bCs/>
          <w:lang w:eastAsia="zh-CN"/>
        </w:rPr>
        <w:t>Proposal 6: New BSR MAC CE format should support per LCH buffer size reporting.</w:t>
      </w:r>
    </w:p>
    <w:p>
      <w:pPr>
        <w:rPr>
          <w:lang w:eastAsia="zh-CN"/>
        </w:rPr>
      </w:pPr>
      <w:r>
        <w:rPr>
          <w:lang w:eastAsia="zh-CN"/>
        </w:rPr>
        <w:t>However, considering that there is also the possibility of mapping different data to different LCGs, this feature is not mandatory and will only take effect when necessary.</w:t>
      </w:r>
    </w:p>
    <w:p>
      <w:pPr>
        <w:rPr>
          <w:lang w:eastAsia="zh-CN"/>
        </w:rPr>
      </w:pPr>
      <w:r>
        <w:rPr>
          <w:lang w:eastAsia="zh-CN"/>
        </w:rPr>
        <w:t>As for delay or remaining time, according to the various company contributions to RAN2 121, since there is no consensus on the specific definition at this stage. Besides, some company suggests introducing DSR, but considering that delay information will necessarily be associated with specific buffer data, it is not appropriate to report them separately, especially when the delay may involve priority reassign, so the transmission in the BSR The associated time information is appropriate.</w:t>
      </w:r>
    </w:p>
    <w:p>
      <w:pPr>
        <w:rPr>
          <w:lang w:eastAsia="zh-CN"/>
        </w:rPr>
      </w:pPr>
      <w:r>
        <w:rPr>
          <w:lang w:eastAsia="zh-CN"/>
        </w:rPr>
        <w:t xml:space="preserve">Regarding the definition of delay/remaining time, we think that for </w:t>
      </w:r>
      <w:r>
        <w:rPr>
          <w:rFonts w:hint="eastAsia"/>
          <w:lang w:eastAsia="zh-CN"/>
        </w:rPr>
        <w:t>packet</w:t>
      </w:r>
      <w:r>
        <w:rPr>
          <w:lang w:eastAsia="zh-CN"/>
        </w:rPr>
        <w:t xml:space="preserve"> or PDU set with PDB, it is appropriate to transmit the remaining PDB (i.e., the remaining delay budget at the time of sending the BSR), while for data without PDB, it is possible to transmit its delay time (i.e., the time of arrival in the buffer to the time of sending the BSR).</w:t>
      </w:r>
    </w:p>
    <w:p>
      <w:pPr>
        <w:spacing w:after="156" w:afterLines="50"/>
        <w:rPr>
          <w:b/>
          <w:bCs/>
          <w:lang w:eastAsia="zh-CN"/>
        </w:rPr>
      </w:pPr>
      <w:r>
        <w:rPr>
          <w:b/>
          <w:bCs/>
          <w:lang w:eastAsia="zh-CN"/>
        </w:rPr>
        <w:t>Proposal 7: RAN2 is kindly asked to discuss the definition of delay/remaining time in BSR, suggesting using the following approach:</w:t>
      </w:r>
    </w:p>
    <w:p>
      <w:pPr>
        <w:spacing w:after="0"/>
        <w:ind w:left="200" w:leftChars="100"/>
        <w:rPr>
          <w:b/>
          <w:bCs/>
          <w:lang w:eastAsia="zh-CN"/>
        </w:rPr>
      </w:pPr>
      <w:r>
        <w:rPr>
          <w:b/>
          <w:bCs/>
          <w:lang w:eastAsia="zh-CN"/>
        </w:rPr>
        <w:t>For packet with PDB, using remaining time (remaining PDB when BSR is assembled)</w:t>
      </w:r>
    </w:p>
    <w:p>
      <w:pPr>
        <w:ind w:left="200" w:leftChars="100"/>
        <w:rPr>
          <w:rFonts w:hint="eastAsia"/>
          <w:b/>
          <w:bCs/>
          <w:lang w:eastAsia="zh-CN"/>
        </w:rPr>
      </w:pPr>
      <w:r>
        <w:rPr>
          <w:b/>
          <w:bCs/>
          <w:lang w:eastAsia="zh-CN"/>
        </w:rPr>
        <w:t>For packet without PDB, using delay time (time from packet arrived in buffer to corresponding BSR is assembled)</w:t>
      </w:r>
    </w:p>
    <w:p>
      <w:pPr>
        <w:pStyle w:val="2"/>
      </w:pPr>
      <w:r>
        <w:rPr>
          <w:rFonts w:hint="eastAsia"/>
          <w:lang w:eastAsia="zh-CN"/>
        </w:rPr>
        <w:t>3</w:t>
      </w:r>
      <w:r>
        <w:tab/>
      </w:r>
      <w:r>
        <w:t>Summary</w:t>
      </w:r>
    </w:p>
    <w:p>
      <w:pPr>
        <w:rPr>
          <w:lang w:eastAsia="zh-CN"/>
        </w:rPr>
      </w:pPr>
      <w:r>
        <w:t xml:space="preserve">This </w:t>
      </w:r>
      <w:r>
        <w:rPr>
          <w:rFonts w:hint="eastAsia"/>
          <w:lang w:eastAsia="zh-CN"/>
        </w:rPr>
        <w:t>contribution discusses potential</w:t>
      </w:r>
      <w:r>
        <w:rPr>
          <w:lang w:eastAsia="zh-CN"/>
        </w:rPr>
        <w:t xml:space="preserve"> </w:t>
      </w:r>
      <w:r>
        <w:rPr>
          <w:rFonts w:hint="eastAsia"/>
          <w:lang w:eastAsia="zh-CN"/>
        </w:rPr>
        <w:t>capacity</w:t>
      </w:r>
      <w:r>
        <w:rPr>
          <w:lang w:eastAsia="zh-CN"/>
        </w:rPr>
        <w:t xml:space="preserve"> </w:t>
      </w:r>
      <w:r>
        <w:rPr>
          <w:rFonts w:hint="eastAsia"/>
          <w:lang w:eastAsia="zh-CN"/>
        </w:rPr>
        <w:t>enhancement</w:t>
      </w:r>
      <w:r>
        <w:rPr>
          <w:lang w:eastAsia="zh-CN"/>
        </w:rPr>
        <w:t xml:space="preserve"> </w:t>
      </w:r>
      <w:r>
        <w:rPr>
          <w:rFonts w:hint="eastAsia"/>
          <w:lang w:eastAsia="zh-CN"/>
        </w:rPr>
        <w:t>for</w:t>
      </w:r>
      <w:r>
        <w:rPr>
          <w:lang w:eastAsia="zh-CN"/>
        </w:rPr>
        <w:t xml:space="preserve"> </w:t>
      </w:r>
      <w:r>
        <w:rPr>
          <w:rFonts w:hint="eastAsia"/>
          <w:lang w:eastAsia="zh-CN"/>
        </w:rPr>
        <w:t xml:space="preserve">XR, </w:t>
      </w:r>
      <w:r>
        <w:rPr>
          <w:lang w:eastAsia="zh-CN"/>
        </w:rPr>
        <w:t>the following are the proposals that may be taken into consideration.</w:t>
      </w:r>
    </w:p>
    <w:p>
      <w:pPr>
        <w:rPr>
          <w:rFonts w:hint="eastAsia"/>
          <w:i/>
          <w:iCs/>
          <w:u w:val="single"/>
          <w:lang w:eastAsia="zh-CN"/>
        </w:rPr>
      </w:pPr>
      <w:r>
        <w:rPr>
          <w:rFonts w:hint="eastAsia"/>
          <w:i/>
          <w:iCs/>
          <w:u w:val="single"/>
          <w:lang w:eastAsia="zh-CN"/>
        </w:rPr>
        <w:t>B</w:t>
      </w:r>
      <w:r>
        <w:rPr>
          <w:i/>
          <w:iCs/>
          <w:u w:val="single"/>
          <w:lang w:eastAsia="zh-CN"/>
        </w:rPr>
        <w:t>SR table generation and configuration aspect:</w:t>
      </w:r>
    </w:p>
    <w:p>
      <w:pPr>
        <w:rPr>
          <w:b/>
          <w:bCs/>
          <w:lang w:eastAsia="zh-CN"/>
        </w:rPr>
      </w:pPr>
      <w:r>
        <w:rPr>
          <w:b/>
          <w:bCs/>
          <w:lang w:eastAsia="zh-CN"/>
        </w:rPr>
        <w:t>Observation 1: Dynamic BSR table can cause signaling overhead and difficulty of UE and NW implementation, while it is also hard to determine how many fixed BSR table is sufficient for XR since video stream has various resolution, refresh rate and code rate.</w:t>
      </w:r>
    </w:p>
    <w:p>
      <w:pPr>
        <w:rPr>
          <w:b/>
          <w:bCs/>
          <w:lang w:eastAsia="zh-CN"/>
        </w:rPr>
      </w:pPr>
      <w:r>
        <w:rPr>
          <w:b/>
          <w:bCs/>
          <w:lang w:eastAsia="zh-CN"/>
        </w:rPr>
        <w:t>Proposal 1: Introduce multiple configurable semi-static BSR tables (with limited parameters) for XR.</w:t>
      </w:r>
    </w:p>
    <w:p>
      <w:pPr>
        <w:rPr>
          <w:b/>
          <w:bCs/>
          <w:lang w:eastAsia="zh-CN"/>
        </w:rPr>
      </w:pPr>
      <w:r>
        <w:rPr>
          <w:b/>
          <w:bCs/>
          <w:lang w:eastAsia="zh-CN"/>
        </w:rPr>
        <w:t>Proposal 2: NW can configure multiple semi-static BSR tables for UE, either UE or NW can choose a suitable one to use and inform the other.</w:t>
      </w:r>
    </w:p>
    <w:p>
      <w:pPr>
        <w:rPr>
          <w:b/>
          <w:bCs/>
          <w:lang w:eastAsia="zh-CN"/>
        </w:rPr>
      </w:pPr>
      <w:r>
        <w:rPr>
          <w:b/>
          <w:bCs/>
          <w:lang w:eastAsia="zh-CN"/>
        </w:rPr>
        <w:t>Proposal 3: Introduce at least 2 new BSR tables, one is Gaussian, the other can be linear or exponential.</w:t>
      </w:r>
    </w:p>
    <w:p>
      <w:pPr>
        <w:rPr>
          <w:b/>
          <w:bCs/>
          <w:lang w:eastAsia="zh-CN"/>
        </w:rPr>
      </w:pPr>
      <w:r>
        <w:rPr>
          <w:b/>
          <w:bCs/>
          <w:lang w:eastAsia="zh-CN"/>
        </w:rPr>
        <w:t>Observation 2: Transfer complete BSR table between RAN and UE can cause extra signaling overhead and should be precluded.</w:t>
      </w:r>
    </w:p>
    <w:p>
      <w:pPr>
        <w:rPr>
          <w:b/>
          <w:bCs/>
          <w:lang w:eastAsia="zh-CN"/>
        </w:rPr>
      </w:pPr>
      <w:r>
        <w:rPr>
          <w:b/>
          <w:bCs/>
          <w:lang w:eastAsia="zh-CN"/>
        </w:rPr>
        <w:t>Proposal 4:  Bmin, Bmax can be used for BSR table generation and configuration, in which Bmin stands for the minimal none zero value of buffer size, Bmax stands for the maximum value of buffer size.</w:t>
      </w:r>
    </w:p>
    <w:p>
      <w:pPr>
        <w:rPr>
          <w:i/>
          <w:iCs/>
          <w:u w:val="single"/>
          <w:lang w:eastAsia="zh-CN"/>
        </w:rPr>
      </w:pPr>
      <w:r>
        <w:rPr>
          <w:rFonts w:hint="eastAsia"/>
          <w:i/>
          <w:iCs/>
          <w:u w:val="single"/>
          <w:lang w:eastAsia="zh-CN"/>
        </w:rPr>
        <w:t>N</w:t>
      </w:r>
      <w:r>
        <w:rPr>
          <w:i/>
          <w:iCs/>
          <w:u w:val="single"/>
          <w:lang w:eastAsia="zh-CN"/>
        </w:rPr>
        <w:t>ew BSR MAC CE format aspect:</w:t>
      </w:r>
    </w:p>
    <w:p>
      <w:pPr>
        <w:rPr>
          <w:b/>
          <w:bCs/>
          <w:lang w:eastAsia="zh-CN"/>
        </w:rPr>
      </w:pPr>
      <w:r>
        <w:rPr>
          <w:b/>
          <w:bCs/>
          <w:lang w:eastAsia="zh-CN"/>
        </w:rPr>
        <w:t>Proposal 5: New BSR MAC CE format's maximum length of buffer level should not be longer than 16 bit.</w:t>
      </w:r>
    </w:p>
    <w:p>
      <w:pPr>
        <w:rPr>
          <w:b/>
          <w:bCs/>
          <w:lang w:eastAsia="zh-CN"/>
        </w:rPr>
      </w:pPr>
      <w:r>
        <w:rPr>
          <w:b/>
          <w:bCs/>
          <w:lang w:eastAsia="zh-CN"/>
        </w:rPr>
        <w:t>Observation 3: For BSR enhancement, per LCH reporting is necessary but only if NW configured to do so.</w:t>
      </w:r>
    </w:p>
    <w:p>
      <w:pPr>
        <w:rPr>
          <w:b/>
          <w:bCs/>
          <w:lang w:eastAsia="zh-CN"/>
        </w:rPr>
      </w:pPr>
      <w:r>
        <w:rPr>
          <w:b/>
          <w:bCs/>
          <w:lang w:eastAsia="zh-CN"/>
        </w:rPr>
        <w:t>Proposal 6: New BSR MAC CE format should support per LCH buffer size reporting.</w:t>
      </w:r>
    </w:p>
    <w:p>
      <w:pPr>
        <w:rPr>
          <w:i/>
          <w:iCs/>
          <w:u w:val="single"/>
          <w:lang w:eastAsia="zh-CN"/>
        </w:rPr>
      </w:pPr>
      <w:r>
        <w:rPr>
          <w:rFonts w:hint="eastAsia"/>
          <w:i/>
          <w:iCs/>
          <w:u w:val="single"/>
          <w:lang w:eastAsia="zh-CN"/>
        </w:rPr>
        <w:t>D</w:t>
      </w:r>
      <w:r>
        <w:rPr>
          <w:i/>
          <w:iCs/>
          <w:u w:val="single"/>
          <w:lang w:eastAsia="zh-CN"/>
        </w:rPr>
        <w:t>elay/Remaining time definition aspect:</w:t>
      </w:r>
    </w:p>
    <w:p>
      <w:pPr>
        <w:spacing w:after="156" w:afterLines="50"/>
        <w:rPr>
          <w:b/>
          <w:bCs/>
          <w:lang w:eastAsia="zh-CN"/>
        </w:rPr>
      </w:pPr>
      <w:r>
        <w:rPr>
          <w:b/>
          <w:bCs/>
          <w:lang w:eastAsia="zh-CN"/>
        </w:rPr>
        <w:t>Proposal 7: RAN2 is kindly asked to discuss the definition of delay/remaining time in BSR, suggesting using the following approach:</w:t>
      </w:r>
    </w:p>
    <w:p>
      <w:pPr>
        <w:spacing w:after="0"/>
        <w:ind w:left="200" w:leftChars="100"/>
        <w:rPr>
          <w:b/>
          <w:bCs/>
          <w:lang w:eastAsia="zh-CN"/>
        </w:rPr>
      </w:pPr>
      <w:r>
        <w:rPr>
          <w:b/>
          <w:bCs/>
          <w:lang w:eastAsia="zh-CN"/>
        </w:rPr>
        <w:t>For packet with PDB, using remaining time (remaining PDB when BSR is assembled)</w:t>
      </w:r>
    </w:p>
    <w:p>
      <w:pPr>
        <w:ind w:left="200" w:leftChars="100"/>
        <w:rPr>
          <w:rFonts w:hint="eastAsia"/>
          <w:b/>
          <w:bCs/>
          <w:lang w:eastAsia="zh-CN"/>
        </w:rPr>
      </w:pPr>
      <w:r>
        <w:rPr>
          <w:b/>
          <w:bCs/>
          <w:lang w:eastAsia="zh-CN"/>
        </w:rPr>
        <w:t>For packet without PDB, using delay time (time from packet arrived in buffer to corresponding BSR is assembled)</w:t>
      </w:r>
    </w:p>
    <w:p>
      <w:pPr>
        <w:pStyle w:val="2"/>
      </w:pPr>
      <w:r>
        <w:t>References</w:t>
      </w:r>
    </w:p>
    <w:p>
      <w:pPr>
        <w:pStyle w:val="69"/>
        <w:numPr>
          <w:ilvl w:val="0"/>
          <w:numId w:val="2"/>
        </w:numPr>
        <w:overflowPunct w:val="0"/>
        <w:autoSpaceDE w:val="0"/>
        <w:autoSpaceDN w:val="0"/>
        <w:adjustRightInd w:val="0"/>
        <w:textAlignment w:val="baseline"/>
        <w:rPr>
          <w:lang w:eastAsia="zh-CN"/>
        </w:rPr>
      </w:pPr>
      <w:bookmarkStart w:id="5" w:name="_Hlk127465550"/>
      <w:r>
        <w:rPr>
          <w:lang w:eastAsia="zh-CN"/>
        </w:rPr>
        <w:t>R2-2301902</w:t>
      </w:r>
      <w:r>
        <w:rPr>
          <w:rFonts w:hint="eastAsia"/>
          <w:lang w:eastAsia="zh-CN"/>
        </w:rPr>
        <w:t>,</w:t>
      </w:r>
      <w:r>
        <w:rPr>
          <w:lang w:eastAsia="zh-CN"/>
        </w:rPr>
        <w:t xml:space="preserve"> Report on LTE legacy, XR, QoE and MUSIM, Vice Chairman (Nokia)</w:t>
      </w:r>
      <w:bookmarkEnd w:id="5"/>
    </w:p>
    <w:p>
      <w:pPr>
        <w:pStyle w:val="69"/>
        <w:numPr>
          <w:ilvl w:val="0"/>
          <w:numId w:val="2"/>
        </w:numPr>
        <w:overflowPunct w:val="0"/>
        <w:autoSpaceDE w:val="0"/>
        <w:autoSpaceDN w:val="0"/>
        <w:adjustRightInd w:val="0"/>
        <w:textAlignment w:val="baseline"/>
        <w:rPr>
          <w:lang w:eastAsia="zh-CN"/>
        </w:rPr>
      </w:pPr>
      <w:r>
        <w:rPr>
          <w:rFonts w:hint="eastAsia"/>
          <w:lang w:eastAsia="zh-CN"/>
        </w:rPr>
        <w:t>T</w:t>
      </w:r>
      <w:r>
        <w:rPr>
          <w:lang w:eastAsia="zh-CN"/>
        </w:rPr>
        <w:t xml:space="preserve">R 38.838, </w:t>
      </w:r>
      <w:r>
        <w:rPr>
          <w:lang w:eastAsia="zh-CN"/>
        </w:rPr>
        <w:tab/>
      </w:r>
      <w:r>
        <w:rPr>
          <w:lang w:eastAsia="zh-CN"/>
        </w:rPr>
        <w:t>Study on XR (Extended Reality) evaluations for NR, RAN 1</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0146DC0"/>
    <w:multiLevelType w:val="multilevel"/>
    <w:tmpl w:val="70146DC0"/>
    <w:lvl w:ilvl="0" w:tentative="0">
      <w:start w:val="1"/>
      <w:numFmt w:val="bullet"/>
      <w:pStyle w:val="7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E1"/>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3BC"/>
    <w:rsid w:val="00014AD5"/>
    <w:rsid w:val="00015563"/>
    <w:rsid w:val="00017465"/>
    <w:rsid w:val="00020144"/>
    <w:rsid w:val="0002219B"/>
    <w:rsid w:val="000225EC"/>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37584"/>
    <w:rsid w:val="00040095"/>
    <w:rsid w:val="000411B5"/>
    <w:rsid w:val="0004128D"/>
    <w:rsid w:val="000412FF"/>
    <w:rsid w:val="00041F3A"/>
    <w:rsid w:val="00042582"/>
    <w:rsid w:val="0004360D"/>
    <w:rsid w:val="000440A2"/>
    <w:rsid w:val="000441DF"/>
    <w:rsid w:val="00044A39"/>
    <w:rsid w:val="00045F9B"/>
    <w:rsid w:val="00046B69"/>
    <w:rsid w:val="000511B8"/>
    <w:rsid w:val="000519FD"/>
    <w:rsid w:val="00054A85"/>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AB1"/>
    <w:rsid w:val="00071BB5"/>
    <w:rsid w:val="00071E2F"/>
    <w:rsid w:val="00072E13"/>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A0C20"/>
    <w:rsid w:val="000A3174"/>
    <w:rsid w:val="000A39A9"/>
    <w:rsid w:val="000A3B6D"/>
    <w:rsid w:val="000A72EA"/>
    <w:rsid w:val="000A787B"/>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E2843"/>
    <w:rsid w:val="000E3041"/>
    <w:rsid w:val="000E35CE"/>
    <w:rsid w:val="000E4119"/>
    <w:rsid w:val="000E433C"/>
    <w:rsid w:val="000E5B5C"/>
    <w:rsid w:val="000E6382"/>
    <w:rsid w:val="000E745A"/>
    <w:rsid w:val="000F0EBE"/>
    <w:rsid w:val="000F1BA8"/>
    <w:rsid w:val="000F2BCB"/>
    <w:rsid w:val="000F4B76"/>
    <w:rsid w:val="000F68E5"/>
    <w:rsid w:val="000F77A1"/>
    <w:rsid w:val="000F79E2"/>
    <w:rsid w:val="00101A1D"/>
    <w:rsid w:val="00102DAD"/>
    <w:rsid w:val="00103CB2"/>
    <w:rsid w:val="00104088"/>
    <w:rsid w:val="00104632"/>
    <w:rsid w:val="00104DC4"/>
    <w:rsid w:val="00105D5B"/>
    <w:rsid w:val="00106312"/>
    <w:rsid w:val="001102B9"/>
    <w:rsid w:val="001103B9"/>
    <w:rsid w:val="001104C7"/>
    <w:rsid w:val="001122A4"/>
    <w:rsid w:val="00112B1A"/>
    <w:rsid w:val="00113378"/>
    <w:rsid w:val="00113DD5"/>
    <w:rsid w:val="001142B9"/>
    <w:rsid w:val="00114BDD"/>
    <w:rsid w:val="00114D8D"/>
    <w:rsid w:val="001163C5"/>
    <w:rsid w:val="00117BD2"/>
    <w:rsid w:val="001200FE"/>
    <w:rsid w:val="00120844"/>
    <w:rsid w:val="001213DB"/>
    <w:rsid w:val="00123746"/>
    <w:rsid w:val="00123D42"/>
    <w:rsid w:val="001241A8"/>
    <w:rsid w:val="00124709"/>
    <w:rsid w:val="0012471E"/>
    <w:rsid w:val="001258E0"/>
    <w:rsid w:val="00125F18"/>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221B"/>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C1C"/>
    <w:rsid w:val="001C1D60"/>
    <w:rsid w:val="001C28B2"/>
    <w:rsid w:val="001C2938"/>
    <w:rsid w:val="001C2D59"/>
    <w:rsid w:val="001C3639"/>
    <w:rsid w:val="001C3AA4"/>
    <w:rsid w:val="001C521E"/>
    <w:rsid w:val="001C5259"/>
    <w:rsid w:val="001C56B2"/>
    <w:rsid w:val="001C5A33"/>
    <w:rsid w:val="001C5DA4"/>
    <w:rsid w:val="001C5E6D"/>
    <w:rsid w:val="001C6C26"/>
    <w:rsid w:val="001C757C"/>
    <w:rsid w:val="001D09A7"/>
    <w:rsid w:val="001D10F4"/>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402E"/>
    <w:rsid w:val="00204045"/>
    <w:rsid w:val="00207DBE"/>
    <w:rsid w:val="00210C7B"/>
    <w:rsid w:val="00211383"/>
    <w:rsid w:val="00211A7D"/>
    <w:rsid w:val="00211B0E"/>
    <w:rsid w:val="00212425"/>
    <w:rsid w:val="00212659"/>
    <w:rsid w:val="0021364D"/>
    <w:rsid w:val="00215618"/>
    <w:rsid w:val="002156A8"/>
    <w:rsid w:val="00215A94"/>
    <w:rsid w:val="00215C7D"/>
    <w:rsid w:val="00215F9A"/>
    <w:rsid w:val="00216FA7"/>
    <w:rsid w:val="002171E0"/>
    <w:rsid w:val="002207CD"/>
    <w:rsid w:val="00220887"/>
    <w:rsid w:val="002222F9"/>
    <w:rsid w:val="00222C92"/>
    <w:rsid w:val="00223212"/>
    <w:rsid w:val="00224EDE"/>
    <w:rsid w:val="002256FD"/>
    <w:rsid w:val="0022606D"/>
    <w:rsid w:val="00226C8C"/>
    <w:rsid w:val="002275E8"/>
    <w:rsid w:val="00227D66"/>
    <w:rsid w:val="00231562"/>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6AD4"/>
    <w:rsid w:val="00267141"/>
    <w:rsid w:val="002724AE"/>
    <w:rsid w:val="00272C8E"/>
    <w:rsid w:val="00273CB1"/>
    <w:rsid w:val="00273EAF"/>
    <w:rsid w:val="002747EC"/>
    <w:rsid w:val="00274B5E"/>
    <w:rsid w:val="002759D0"/>
    <w:rsid w:val="00276077"/>
    <w:rsid w:val="00276569"/>
    <w:rsid w:val="00276E63"/>
    <w:rsid w:val="00277DBA"/>
    <w:rsid w:val="00280137"/>
    <w:rsid w:val="0028023E"/>
    <w:rsid w:val="002821B6"/>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3014"/>
    <w:rsid w:val="002941D5"/>
    <w:rsid w:val="00295C81"/>
    <w:rsid w:val="002965A2"/>
    <w:rsid w:val="00296B72"/>
    <w:rsid w:val="002A07A8"/>
    <w:rsid w:val="002A0C1A"/>
    <w:rsid w:val="002A2168"/>
    <w:rsid w:val="002A2ED3"/>
    <w:rsid w:val="002A32D7"/>
    <w:rsid w:val="002A412B"/>
    <w:rsid w:val="002A50F4"/>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74F0"/>
    <w:rsid w:val="002F0D22"/>
    <w:rsid w:val="002F1C04"/>
    <w:rsid w:val="002F28F5"/>
    <w:rsid w:val="002F321C"/>
    <w:rsid w:val="002F4305"/>
    <w:rsid w:val="002F44BD"/>
    <w:rsid w:val="002F4628"/>
    <w:rsid w:val="002F47B0"/>
    <w:rsid w:val="002F6353"/>
    <w:rsid w:val="002F6BAB"/>
    <w:rsid w:val="002F7F54"/>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66F8"/>
    <w:rsid w:val="00337547"/>
    <w:rsid w:val="0033778E"/>
    <w:rsid w:val="00337C8F"/>
    <w:rsid w:val="00340293"/>
    <w:rsid w:val="00340312"/>
    <w:rsid w:val="003417CA"/>
    <w:rsid w:val="00342CF7"/>
    <w:rsid w:val="00343D41"/>
    <w:rsid w:val="00345696"/>
    <w:rsid w:val="003477E7"/>
    <w:rsid w:val="00351873"/>
    <w:rsid w:val="00351D31"/>
    <w:rsid w:val="003536A7"/>
    <w:rsid w:val="00353AF5"/>
    <w:rsid w:val="00354524"/>
    <w:rsid w:val="0035462D"/>
    <w:rsid w:val="0035491C"/>
    <w:rsid w:val="00354DFE"/>
    <w:rsid w:val="00356FD6"/>
    <w:rsid w:val="00357132"/>
    <w:rsid w:val="003577E7"/>
    <w:rsid w:val="00357B97"/>
    <w:rsid w:val="00360629"/>
    <w:rsid w:val="00360966"/>
    <w:rsid w:val="003613A6"/>
    <w:rsid w:val="003618E8"/>
    <w:rsid w:val="00362F33"/>
    <w:rsid w:val="00363A6D"/>
    <w:rsid w:val="00363C7B"/>
    <w:rsid w:val="00363F32"/>
    <w:rsid w:val="00365017"/>
    <w:rsid w:val="00366136"/>
    <w:rsid w:val="003666DE"/>
    <w:rsid w:val="003669B8"/>
    <w:rsid w:val="00367D22"/>
    <w:rsid w:val="003718CE"/>
    <w:rsid w:val="003723F0"/>
    <w:rsid w:val="003723F4"/>
    <w:rsid w:val="00372872"/>
    <w:rsid w:val="003730EC"/>
    <w:rsid w:val="00373774"/>
    <w:rsid w:val="003741C3"/>
    <w:rsid w:val="00374D1A"/>
    <w:rsid w:val="003757B7"/>
    <w:rsid w:val="0037787D"/>
    <w:rsid w:val="003803CA"/>
    <w:rsid w:val="0038079F"/>
    <w:rsid w:val="00380A4A"/>
    <w:rsid w:val="00380BFB"/>
    <w:rsid w:val="0038223F"/>
    <w:rsid w:val="00382AC9"/>
    <w:rsid w:val="00382F1A"/>
    <w:rsid w:val="003839A9"/>
    <w:rsid w:val="00384FC9"/>
    <w:rsid w:val="00385F69"/>
    <w:rsid w:val="003860EA"/>
    <w:rsid w:val="0038791C"/>
    <w:rsid w:val="00390F9A"/>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4412"/>
    <w:rsid w:val="003C4E37"/>
    <w:rsid w:val="003C59E3"/>
    <w:rsid w:val="003C6106"/>
    <w:rsid w:val="003C64A9"/>
    <w:rsid w:val="003C6EE5"/>
    <w:rsid w:val="003C71BD"/>
    <w:rsid w:val="003C7253"/>
    <w:rsid w:val="003D077C"/>
    <w:rsid w:val="003D0864"/>
    <w:rsid w:val="003D1900"/>
    <w:rsid w:val="003D1E0C"/>
    <w:rsid w:val="003D3885"/>
    <w:rsid w:val="003D3D7C"/>
    <w:rsid w:val="003D4E00"/>
    <w:rsid w:val="003D60BB"/>
    <w:rsid w:val="003D62F9"/>
    <w:rsid w:val="003D7042"/>
    <w:rsid w:val="003D71B0"/>
    <w:rsid w:val="003E16BE"/>
    <w:rsid w:val="003E1F2D"/>
    <w:rsid w:val="003E2946"/>
    <w:rsid w:val="003E41C6"/>
    <w:rsid w:val="003E4A6A"/>
    <w:rsid w:val="003E4A9C"/>
    <w:rsid w:val="003E60CA"/>
    <w:rsid w:val="003E7110"/>
    <w:rsid w:val="003E735C"/>
    <w:rsid w:val="003E7657"/>
    <w:rsid w:val="003F037E"/>
    <w:rsid w:val="003F0760"/>
    <w:rsid w:val="003F13D7"/>
    <w:rsid w:val="003F1867"/>
    <w:rsid w:val="003F22E0"/>
    <w:rsid w:val="003F2ECB"/>
    <w:rsid w:val="003F436D"/>
    <w:rsid w:val="003F7075"/>
    <w:rsid w:val="003F7ED7"/>
    <w:rsid w:val="004000B4"/>
    <w:rsid w:val="00400D77"/>
    <w:rsid w:val="004013FA"/>
    <w:rsid w:val="00401443"/>
    <w:rsid w:val="00401855"/>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B2D"/>
    <w:rsid w:val="00413D93"/>
    <w:rsid w:val="004153C2"/>
    <w:rsid w:val="0041688E"/>
    <w:rsid w:val="004170B3"/>
    <w:rsid w:val="0041738F"/>
    <w:rsid w:val="0041744B"/>
    <w:rsid w:val="004174BD"/>
    <w:rsid w:val="00417527"/>
    <w:rsid w:val="00417BE2"/>
    <w:rsid w:val="00420154"/>
    <w:rsid w:val="00420AED"/>
    <w:rsid w:val="00421F52"/>
    <w:rsid w:val="0042432A"/>
    <w:rsid w:val="00424F43"/>
    <w:rsid w:val="00426D73"/>
    <w:rsid w:val="004308DB"/>
    <w:rsid w:val="004318C5"/>
    <w:rsid w:val="00432AE3"/>
    <w:rsid w:val="004338B5"/>
    <w:rsid w:val="00434D06"/>
    <w:rsid w:val="004377C8"/>
    <w:rsid w:val="00437D7E"/>
    <w:rsid w:val="00442883"/>
    <w:rsid w:val="00444227"/>
    <w:rsid w:val="0044530C"/>
    <w:rsid w:val="0044596F"/>
    <w:rsid w:val="00445B25"/>
    <w:rsid w:val="00445C71"/>
    <w:rsid w:val="004461BA"/>
    <w:rsid w:val="004469C6"/>
    <w:rsid w:val="00446AE9"/>
    <w:rsid w:val="0045083D"/>
    <w:rsid w:val="0045180A"/>
    <w:rsid w:val="00456600"/>
    <w:rsid w:val="0045751F"/>
    <w:rsid w:val="0045781F"/>
    <w:rsid w:val="00460045"/>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599A"/>
    <w:rsid w:val="00485C77"/>
    <w:rsid w:val="0048786D"/>
    <w:rsid w:val="00487ACF"/>
    <w:rsid w:val="004908A9"/>
    <w:rsid w:val="00492E37"/>
    <w:rsid w:val="004932A1"/>
    <w:rsid w:val="00495C5A"/>
    <w:rsid w:val="00495FE0"/>
    <w:rsid w:val="00496D27"/>
    <w:rsid w:val="004974CC"/>
    <w:rsid w:val="004A0319"/>
    <w:rsid w:val="004A06B1"/>
    <w:rsid w:val="004A1443"/>
    <w:rsid w:val="004A1B65"/>
    <w:rsid w:val="004A21D1"/>
    <w:rsid w:val="004A2D59"/>
    <w:rsid w:val="004A2ED4"/>
    <w:rsid w:val="004A3CB6"/>
    <w:rsid w:val="004A4BC5"/>
    <w:rsid w:val="004A55DB"/>
    <w:rsid w:val="004A5F91"/>
    <w:rsid w:val="004A6EB7"/>
    <w:rsid w:val="004B0513"/>
    <w:rsid w:val="004B2CFC"/>
    <w:rsid w:val="004B37FD"/>
    <w:rsid w:val="004B40D9"/>
    <w:rsid w:val="004B44A7"/>
    <w:rsid w:val="004B53E0"/>
    <w:rsid w:val="004B7076"/>
    <w:rsid w:val="004B79CE"/>
    <w:rsid w:val="004C1B85"/>
    <w:rsid w:val="004C36EC"/>
    <w:rsid w:val="004C389A"/>
    <w:rsid w:val="004C5504"/>
    <w:rsid w:val="004C5B89"/>
    <w:rsid w:val="004C728F"/>
    <w:rsid w:val="004C7E2A"/>
    <w:rsid w:val="004C7F13"/>
    <w:rsid w:val="004D0648"/>
    <w:rsid w:val="004D0719"/>
    <w:rsid w:val="004D0FBE"/>
    <w:rsid w:val="004D2113"/>
    <w:rsid w:val="004D3578"/>
    <w:rsid w:val="004D380D"/>
    <w:rsid w:val="004D4405"/>
    <w:rsid w:val="004D442B"/>
    <w:rsid w:val="004D4571"/>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DC1"/>
    <w:rsid w:val="004E5707"/>
    <w:rsid w:val="004E5964"/>
    <w:rsid w:val="004E6678"/>
    <w:rsid w:val="004E7988"/>
    <w:rsid w:val="004E7DA9"/>
    <w:rsid w:val="004F0B91"/>
    <w:rsid w:val="004F14E7"/>
    <w:rsid w:val="004F36E0"/>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E7D"/>
    <w:rsid w:val="00505481"/>
    <w:rsid w:val="00506C28"/>
    <w:rsid w:val="0050795D"/>
    <w:rsid w:val="00507BD6"/>
    <w:rsid w:val="00507DCE"/>
    <w:rsid w:val="00510A64"/>
    <w:rsid w:val="005110C6"/>
    <w:rsid w:val="00511D0D"/>
    <w:rsid w:val="005135FF"/>
    <w:rsid w:val="005139AA"/>
    <w:rsid w:val="00513A52"/>
    <w:rsid w:val="00514801"/>
    <w:rsid w:val="0051578C"/>
    <w:rsid w:val="005166F7"/>
    <w:rsid w:val="0051690B"/>
    <w:rsid w:val="00516A16"/>
    <w:rsid w:val="00516B60"/>
    <w:rsid w:val="0051770A"/>
    <w:rsid w:val="00517A4C"/>
    <w:rsid w:val="00520274"/>
    <w:rsid w:val="00521B0D"/>
    <w:rsid w:val="00522B26"/>
    <w:rsid w:val="00523546"/>
    <w:rsid w:val="00523794"/>
    <w:rsid w:val="00523C41"/>
    <w:rsid w:val="00523F96"/>
    <w:rsid w:val="00524F84"/>
    <w:rsid w:val="005263CF"/>
    <w:rsid w:val="005266EF"/>
    <w:rsid w:val="00527F15"/>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503E"/>
    <w:rsid w:val="00546A95"/>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528A"/>
    <w:rsid w:val="005C634D"/>
    <w:rsid w:val="005C63FA"/>
    <w:rsid w:val="005D0A29"/>
    <w:rsid w:val="005D1702"/>
    <w:rsid w:val="005D2697"/>
    <w:rsid w:val="005D273C"/>
    <w:rsid w:val="005D3B35"/>
    <w:rsid w:val="005D414B"/>
    <w:rsid w:val="005D4BF8"/>
    <w:rsid w:val="005D5072"/>
    <w:rsid w:val="005D5447"/>
    <w:rsid w:val="005D662B"/>
    <w:rsid w:val="005D7FDC"/>
    <w:rsid w:val="005E16A1"/>
    <w:rsid w:val="005E1A07"/>
    <w:rsid w:val="005E1CCA"/>
    <w:rsid w:val="005E2219"/>
    <w:rsid w:val="005E353A"/>
    <w:rsid w:val="005E4B34"/>
    <w:rsid w:val="005E4EF1"/>
    <w:rsid w:val="005E667A"/>
    <w:rsid w:val="005E67A1"/>
    <w:rsid w:val="005E71E3"/>
    <w:rsid w:val="005E7B5E"/>
    <w:rsid w:val="005F19E6"/>
    <w:rsid w:val="005F285A"/>
    <w:rsid w:val="005F2EDF"/>
    <w:rsid w:val="005F3905"/>
    <w:rsid w:val="005F4451"/>
    <w:rsid w:val="0060015A"/>
    <w:rsid w:val="006001AD"/>
    <w:rsid w:val="00600751"/>
    <w:rsid w:val="00600BFD"/>
    <w:rsid w:val="00600C9B"/>
    <w:rsid w:val="0060123B"/>
    <w:rsid w:val="00601D01"/>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3097"/>
    <w:rsid w:val="006335E2"/>
    <w:rsid w:val="00633746"/>
    <w:rsid w:val="006352FD"/>
    <w:rsid w:val="00636BE0"/>
    <w:rsid w:val="00637A88"/>
    <w:rsid w:val="00640C9D"/>
    <w:rsid w:val="00640DD9"/>
    <w:rsid w:val="006422F4"/>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7075"/>
    <w:rsid w:val="006674C9"/>
    <w:rsid w:val="0067066E"/>
    <w:rsid w:val="006714B1"/>
    <w:rsid w:val="00671516"/>
    <w:rsid w:val="0067286A"/>
    <w:rsid w:val="00673A2D"/>
    <w:rsid w:val="00674F6F"/>
    <w:rsid w:val="006751F3"/>
    <w:rsid w:val="00676945"/>
    <w:rsid w:val="00676D11"/>
    <w:rsid w:val="00676FEF"/>
    <w:rsid w:val="00677147"/>
    <w:rsid w:val="00677EB7"/>
    <w:rsid w:val="0068064C"/>
    <w:rsid w:val="006808DE"/>
    <w:rsid w:val="00680C10"/>
    <w:rsid w:val="00681506"/>
    <w:rsid w:val="00681A9A"/>
    <w:rsid w:val="00684745"/>
    <w:rsid w:val="00684E6F"/>
    <w:rsid w:val="006856CF"/>
    <w:rsid w:val="00685931"/>
    <w:rsid w:val="0068759E"/>
    <w:rsid w:val="00692129"/>
    <w:rsid w:val="00693CEA"/>
    <w:rsid w:val="00694C54"/>
    <w:rsid w:val="0069512B"/>
    <w:rsid w:val="00695F32"/>
    <w:rsid w:val="0069776D"/>
    <w:rsid w:val="006A0843"/>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4E54"/>
    <w:rsid w:val="006C4ECB"/>
    <w:rsid w:val="006C4F55"/>
    <w:rsid w:val="006C5BE1"/>
    <w:rsid w:val="006C66D8"/>
    <w:rsid w:val="006C7C87"/>
    <w:rsid w:val="006C7D66"/>
    <w:rsid w:val="006C7DF7"/>
    <w:rsid w:val="006D0A88"/>
    <w:rsid w:val="006D1A22"/>
    <w:rsid w:val="006D1E24"/>
    <w:rsid w:val="006D2BB5"/>
    <w:rsid w:val="006D59FF"/>
    <w:rsid w:val="006D6102"/>
    <w:rsid w:val="006D6385"/>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F62"/>
    <w:rsid w:val="006F46F0"/>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4090"/>
    <w:rsid w:val="0071489D"/>
    <w:rsid w:val="00714C39"/>
    <w:rsid w:val="00714FEC"/>
    <w:rsid w:val="0071533E"/>
    <w:rsid w:val="007155D7"/>
    <w:rsid w:val="00715601"/>
    <w:rsid w:val="007178B7"/>
    <w:rsid w:val="00717A1C"/>
    <w:rsid w:val="00717D0F"/>
    <w:rsid w:val="0072127F"/>
    <w:rsid w:val="007214EC"/>
    <w:rsid w:val="00722476"/>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D40"/>
    <w:rsid w:val="00760980"/>
    <w:rsid w:val="00760FBA"/>
    <w:rsid w:val="00761D17"/>
    <w:rsid w:val="0076222A"/>
    <w:rsid w:val="00763A4E"/>
    <w:rsid w:val="00763D86"/>
    <w:rsid w:val="007657B8"/>
    <w:rsid w:val="007657ED"/>
    <w:rsid w:val="00765BCB"/>
    <w:rsid w:val="0076606E"/>
    <w:rsid w:val="00767684"/>
    <w:rsid w:val="0076783C"/>
    <w:rsid w:val="00767C7F"/>
    <w:rsid w:val="00770CD4"/>
    <w:rsid w:val="0077251D"/>
    <w:rsid w:val="00772D31"/>
    <w:rsid w:val="007731AF"/>
    <w:rsid w:val="00773C5F"/>
    <w:rsid w:val="007750B4"/>
    <w:rsid w:val="00775B3A"/>
    <w:rsid w:val="0077728C"/>
    <w:rsid w:val="00777A0A"/>
    <w:rsid w:val="00777F24"/>
    <w:rsid w:val="0078110C"/>
    <w:rsid w:val="00781B4C"/>
    <w:rsid w:val="00781F0F"/>
    <w:rsid w:val="00782012"/>
    <w:rsid w:val="00782139"/>
    <w:rsid w:val="00783304"/>
    <w:rsid w:val="007846F6"/>
    <w:rsid w:val="00785F67"/>
    <w:rsid w:val="00786844"/>
    <w:rsid w:val="0078727C"/>
    <w:rsid w:val="00787CB8"/>
    <w:rsid w:val="00790255"/>
    <w:rsid w:val="0079049D"/>
    <w:rsid w:val="00791656"/>
    <w:rsid w:val="00791E9A"/>
    <w:rsid w:val="0079289B"/>
    <w:rsid w:val="00792DBB"/>
    <w:rsid w:val="0079365A"/>
    <w:rsid w:val="00793F56"/>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334C"/>
    <w:rsid w:val="007E4126"/>
    <w:rsid w:val="007E4375"/>
    <w:rsid w:val="007E5462"/>
    <w:rsid w:val="007E6A4C"/>
    <w:rsid w:val="007F128D"/>
    <w:rsid w:val="007F1EE8"/>
    <w:rsid w:val="007F2122"/>
    <w:rsid w:val="007F2515"/>
    <w:rsid w:val="007F251A"/>
    <w:rsid w:val="007F3526"/>
    <w:rsid w:val="007F4C03"/>
    <w:rsid w:val="007F4E37"/>
    <w:rsid w:val="007F59D1"/>
    <w:rsid w:val="007F6FE5"/>
    <w:rsid w:val="0080013E"/>
    <w:rsid w:val="00800775"/>
    <w:rsid w:val="0080156C"/>
    <w:rsid w:val="008028A4"/>
    <w:rsid w:val="00803B05"/>
    <w:rsid w:val="00803C61"/>
    <w:rsid w:val="00804CC9"/>
    <w:rsid w:val="00806CAE"/>
    <w:rsid w:val="0080744A"/>
    <w:rsid w:val="008075F8"/>
    <w:rsid w:val="00811996"/>
    <w:rsid w:val="0081199C"/>
    <w:rsid w:val="008121C2"/>
    <w:rsid w:val="0081229C"/>
    <w:rsid w:val="00812B0C"/>
    <w:rsid w:val="00812DA8"/>
    <w:rsid w:val="00813245"/>
    <w:rsid w:val="00814BE6"/>
    <w:rsid w:val="00814DF6"/>
    <w:rsid w:val="008153A3"/>
    <w:rsid w:val="008154A5"/>
    <w:rsid w:val="008155EF"/>
    <w:rsid w:val="008159B7"/>
    <w:rsid w:val="00816DC9"/>
    <w:rsid w:val="00817AEA"/>
    <w:rsid w:val="00820B84"/>
    <w:rsid w:val="0082140C"/>
    <w:rsid w:val="00822825"/>
    <w:rsid w:val="008228C5"/>
    <w:rsid w:val="00824629"/>
    <w:rsid w:val="00825975"/>
    <w:rsid w:val="008265B1"/>
    <w:rsid w:val="008271C6"/>
    <w:rsid w:val="008275E6"/>
    <w:rsid w:val="00830A62"/>
    <w:rsid w:val="00831184"/>
    <w:rsid w:val="00831976"/>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F5F"/>
    <w:rsid w:val="00846294"/>
    <w:rsid w:val="00846641"/>
    <w:rsid w:val="0084772B"/>
    <w:rsid w:val="00850999"/>
    <w:rsid w:val="008516E0"/>
    <w:rsid w:val="008520D0"/>
    <w:rsid w:val="008544DC"/>
    <w:rsid w:val="0085690C"/>
    <w:rsid w:val="0086010D"/>
    <w:rsid w:val="00860578"/>
    <w:rsid w:val="00862B60"/>
    <w:rsid w:val="00863930"/>
    <w:rsid w:val="00863D3D"/>
    <w:rsid w:val="00865183"/>
    <w:rsid w:val="00865601"/>
    <w:rsid w:val="008656A0"/>
    <w:rsid w:val="0086590D"/>
    <w:rsid w:val="00866F7A"/>
    <w:rsid w:val="00870DAD"/>
    <w:rsid w:val="0087263F"/>
    <w:rsid w:val="00875B00"/>
    <w:rsid w:val="00875EB4"/>
    <w:rsid w:val="008762F7"/>
    <w:rsid w:val="008766FA"/>
    <w:rsid w:val="008768CA"/>
    <w:rsid w:val="00877010"/>
    <w:rsid w:val="00877EA0"/>
    <w:rsid w:val="00877EF9"/>
    <w:rsid w:val="00880559"/>
    <w:rsid w:val="008810E8"/>
    <w:rsid w:val="008815A4"/>
    <w:rsid w:val="00881AD9"/>
    <w:rsid w:val="00881FB1"/>
    <w:rsid w:val="00883DE9"/>
    <w:rsid w:val="008849C0"/>
    <w:rsid w:val="00885893"/>
    <w:rsid w:val="00887C76"/>
    <w:rsid w:val="00890449"/>
    <w:rsid w:val="00890D69"/>
    <w:rsid w:val="00891C46"/>
    <w:rsid w:val="00891CCF"/>
    <w:rsid w:val="00892BCB"/>
    <w:rsid w:val="00892D28"/>
    <w:rsid w:val="00893C53"/>
    <w:rsid w:val="008957F1"/>
    <w:rsid w:val="008964E4"/>
    <w:rsid w:val="0089797A"/>
    <w:rsid w:val="008A203C"/>
    <w:rsid w:val="008A2AAB"/>
    <w:rsid w:val="008A2D12"/>
    <w:rsid w:val="008A3C86"/>
    <w:rsid w:val="008A41D0"/>
    <w:rsid w:val="008A4549"/>
    <w:rsid w:val="008A47BD"/>
    <w:rsid w:val="008A47D7"/>
    <w:rsid w:val="008A507A"/>
    <w:rsid w:val="008A6500"/>
    <w:rsid w:val="008B0EAB"/>
    <w:rsid w:val="008B1412"/>
    <w:rsid w:val="008B270F"/>
    <w:rsid w:val="008B2758"/>
    <w:rsid w:val="008B2DB9"/>
    <w:rsid w:val="008B437A"/>
    <w:rsid w:val="008B4F7A"/>
    <w:rsid w:val="008B51A1"/>
    <w:rsid w:val="008B51CD"/>
    <w:rsid w:val="008B5306"/>
    <w:rsid w:val="008B5AAD"/>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71F"/>
    <w:rsid w:val="00902DB9"/>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539"/>
    <w:rsid w:val="00913A58"/>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5CAC"/>
    <w:rsid w:val="009262AD"/>
    <w:rsid w:val="009275B7"/>
    <w:rsid w:val="00930F3E"/>
    <w:rsid w:val="00931174"/>
    <w:rsid w:val="0093129F"/>
    <w:rsid w:val="009313B0"/>
    <w:rsid w:val="009319F8"/>
    <w:rsid w:val="00931D90"/>
    <w:rsid w:val="00933893"/>
    <w:rsid w:val="0093422F"/>
    <w:rsid w:val="00935A29"/>
    <w:rsid w:val="00936071"/>
    <w:rsid w:val="00936168"/>
    <w:rsid w:val="00936F1D"/>
    <w:rsid w:val="0093719E"/>
    <w:rsid w:val="009373DA"/>
    <w:rsid w:val="00937786"/>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70DB3"/>
    <w:rsid w:val="009729ED"/>
    <w:rsid w:val="009741B4"/>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A0561"/>
    <w:rsid w:val="009A0941"/>
    <w:rsid w:val="009A0AF3"/>
    <w:rsid w:val="009A0E05"/>
    <w:rsid w:val="009A1524"/>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FB"/>
    <w:rsid w:val="009D5EA8"/>
    <w:rsid w:val="009D6DE9"/>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7203"/>
    <w:rsid w:val="009F752B"/>
    <w:rsid w:val="00A0245E"/>
    <w:rsid w:val="00A036B7"/>
    <w:rsid w:val="00A04CF4"/>
    <w:rsid w:val="00A04D1F"/>
    <w:rsid w:val="00A052A4"/>
    <w:rsid w:val="00A06B9E"/>
    <w:rsid w:val="00A07490"/>
    <w:rsid w:val="00A07941"/>
    <w:rsid w:val="00A1053B"/>
    <w:rsid w:val="00A10F02"/>
    <w:rsid w:val="00A13034"/>
    <w:rsid w:val="00A14985"/>
    <w:rsid w:val="00A15F54"/>
    <w:rsid w:val="00A175AE"/>
    <w:rsid w:val="00A204CA"/>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5653"/>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E75"/>
    <w:rsid w:val="00A61A6E"/>
    <w:rsid w:val="00A62DD8"/>
    <w:rsid w:val="00A630D1"/>
    <w:rsid w:val="00A638C1"/>
    <w:rsid w:val="00A658F4"/>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296F"/>
    <w:rsid w:val="00A8585D"/>
    <w:rsid w:val="00A904BD"/>
    <w:rsid w:val="00A90E7C"/>
    <w:rsid w:val="00A93131"/>
    <w:rsid w:val="00A938C3"/>
    <w:rsid w:val="00A95E36"/>
    <w:rsid w:val="00A95E90"/>
    <w:rsid w:val="00A961B2"/>
    <w:rsid w:val="00A9671C"/>
    <w:rsid w:val="00A967F0"/>
    <w:rsid w:val="00A9697E"/>
    <w:rsid w:val="00A96A2E"/>
    <w:rsid w:val="00AA0E96"/>
    <w:rsid w:val="00AA14C1"/>
    <w:rsid w:val="00AA1553"/>
    <w:rsid w:val="00AA1F72"/>
    <w:rsid w:val="00AA1FA8"/>
    <w:rsid w:val="00AA3636"/>
    <w:rsid w:val="00AA3BA7"/>
    <w:rsid w:val="00AA4058"/>
    <w:rsid w:val="00AA484C"/>
    <w:rsid w:val="00AA5163"/>
    <w:rsid w:val="00AA54AE"/>
    <w:rsid w:val="00AA5912"/>
    <w:rsid w:val="00AA6F48"/>
    <w:rsid w:val="00AB0711"/>
    <w:rsid w:val="00AB0DEA"/>
    <w:rsid w:val="00AB1408"/>
    <w:rsid w:val="00AB1C35"/>
    <w:rsid w:val="00AB1D62"/>
    <w:rsid w:val="00AB2366"/>
    <w:rsid w:val="00AB378A"/>
    <w:rsid w:val="00AB3F53"/>
    <w:rsid w:val="00AB4162"/>
    <w:rsid w:val="00AB43D5"/>
    <w:rsid w:val="00AB4B5A"/>
    <w:rsid w:val="00AB504B"/>
    <w:rsid w:val="00AB556A"/>
    <w:rsid w:val="00AB58FA"/>
    <w:rsid w:val="00AB5FEB"/>
    <w:rsid w:val="00AC136F"/>
    <w:rsid w:val="00AC2ACB"/>
    <w:rsid w:val="00AC3968"/>
    <w:rsid w:val="00AC3D4C"/>
    <w:rsid w:val="00AC417A"/>
    <w:rsid w:val="00AC4C2B"/>
    <w:rsid w:val="00AC56FB"/>
    <w:rsid w:val="00AC58EB"/>
    <w:rsid w:val="00AC5DA5"/>
    <w:rsid w:val="00AD030D"/>
    <w:rsid w:val="00AD0633"/>
    <w:rsid w:val="00AD0F1D"/>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5DD2"/>
    <w:rsid w:val="00AF72B0"/>
    <w:rsid w:val="00AF77F1"/>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12A9"/>
    <w:rsid w:val="00B42A08"/>
    <w:rsid w:val="00B43EDC"/>
    <w:rsid w:val="00B44461"/>
    <w:rsid w:val="00B44530"/>
    <w:rsid w:val="00B44898"/>
    <w:rsid w:val="00B44A6C"/>
    <w:rsid w:val="00B460B3"/>
    <w:rsid w:val="00B46247"/>
    <w:rsid w:val="00B46A62"/>
    <w:rsid w:val="00B46E6B"/>
    <w:rsid w:val="00B47FD1"/>
    <w:rsid w:val="00B5060B"/>
    <w:rsid w:val="00B516BB"/>
    <w:rsid w:val="00B52A73"/>
    <w:rsid w:val="00B53FA3"/>
    <w:rsid w:val="00B540D0"/>
    <w:rsid w:val="00B54890"/>
    <w:rsid w:val="00B562CB"/>
    <w:rsid w:val="00B56615"/>
    <w:rsid w:val="00B56BBB"/>
    <w:rsid w:val="00B57E4B"/>
    <w:rsid w:val="00B6016B"/>
    <w:rsid w:val="00B60822"/>
    <w:rsid w:val="00B612F2"/>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7C41"/>
    <w:rsid w:val="00B77FD6"/>
    <w:rsid w:val="00B81E4A"/>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1AA2"/>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1590"/>
    <w:rsid w:val="00BF1A4A"/>
    <w:rsid w:val="00BF2671"/>
    <w:rsid w:val="00BF3E71"/>
    <w:rsid w:val="00BF4650"/>
    <w:rsid w:val="00BF4AB3"/>
    <w:rsid w:val="00BF605F"/>
    <w:rsid w:val="00BF655D"/>
    <w:rsid w:val="00BF6685"/>
    <w:rsid w:val="00C00125"/>
    <w:rsid w:val="00C0256B"/>
    <w:rsid w:val="00C02766"/>
    <w:rsid w:val="00C028E2"/>
    <w:rsid w:val="00C0450B"/>
    <w:rsid w:val="00C05FFB"/>
    <w:rsid w:val="00C062AD"/>
    <w:rsid w:val="00C062B8"/>
    <w:rsid w:val="00C07B22"/>
    <w:rsid w:val="00C07C8C"/>
    <w:rsid w:val="00C10FEF"/>
    <w:rsid w:val="00C12179"/>
    <w:rsid w:val="00C12890"/>
    <w:rsid w:val="00C12B51"/>
    <w:rsid w:val="00C1317F"/>
    <w:rsid w:val="00C13CCF"/>
    <w:rsid w:val="00C16023"/>
    <w:rsid w:val="00C16E58"/>
    <w:rsid w:val="00C16EDE"/>
    <w:rsid w:val="00C17B15"/>
    <w:rsid w:val="00C2053F"/>
    <w:rsid w:val="00C22397"/>
    <w:rsid w:val="00C23F63"/>
    <w:rsid w:val="00C241A4"/>
    <w:rsid w:val="00C24650"/>
    <w:rsid w:val="00C25AAF"/>
    <w:rsid w:val="00C26C6B"/>
    <w:rsid w:val="00C27B36"/>
    <w:rsid w:val="00C3291E"/>
    <w:rsid w:val="00C32BCD"/>
    <w:rsid w:val="00C33079"/>
    <w:rsid w:val="00C330DF"/>
    <w:rsid w:val="00C343D1"/>
    <w:rsid w:val="00C356FF"/>
    <w:rsid w:val="00C366CF"/>
    <w:rsid w:val="00C37568"/>
    <w:rsid w:val="00C37C48"/>
    <w:rsid w:val="00C4049C"/>
    <w:rsid w:val="00C40600"/>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AE3"/>
    <w:rsid w:val="00C662D3"/>
    <w:rsid w:val="00C67041"/>
    <w:rsid w:val="00C677FA"/>
    <w:rsid w:val="00C67966"/>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3BBB"/>
    <w:rsid w:val="00CB474B"/>
    <w:rsid w:val="00CB4BF5"/>
    <w:rsid w:val="00CB5559"/>
    <w:rsid w:val="00CB70D0"/>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D99"/>
    <w:rsid w:val="00CD4810"/>
    <w:rsid w:val="00CD4C7B"/>
    <w:rsid w:val="00CD5B79"/>
    <w:rsid w:val="00CD5D52"/>
    <w:rsid w:val="00CD6435"/>
    <w:rsid w:val="00CD6631"/>
    <w:rsid w:val="00CD6C20"/>
    <w:rsid w:val="00CD74AB"/>
    <w:rsid w:val="00CE1251"/>
    <w:rsid w:val="00CE2784"/>
    <w:rsid w:val="00CE2D7B"/>
    <w:rsid w:val="00CE2FB5"/>
    <w:rsid w:val="00CE3213"/>
    <w:rsid w:val="00CE5584"/>
    <w:rsid w:val="00CE56D2"/>
    <w:rsid w:val="00CE7CA1"/>
    <w:rsid w:val="00CF0686"/>
    <w:rsid w:val="00CF36E7"/>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D7"/>
    <w:rsid w:val="00D06D5E"/>
    <w:rsid w:val="00D06D98"/>
    <w:rsid w:val="00D103DB"/>
    <w:rsid w:val="00D10FED"/>
    <w:rsid w:val="00D11A22"/>
    <w:rsid w:val="00D1215F"/>
    <w:rsid w:val="00D1356E"/>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68DF"/>
    <w:rsid w:val="00D377B2"/>
    <w:rsid w:val="00D402F5"/>
    <w:rsid w:val="00D40B82"/>
    <w:rsid w:val="00D410F5"/>
    <w:rsid w:val="00D424A2"/>
    <w:rsid w:val="00D4262C"/>
    <w:rsid w:val="00D42995"/>
    <w:rsid w:val="00D43109"/>
    <w:rsid w:val="00D435F0"/>
    <w:rsid w:val="00D43D1B"/>
    <w:rsid w:val="00D440AC"/>
    <w:rsid w:val="00D44734"/>
    <w:rsid w:val="00D4550C"/>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10CB"/>
    <w:rsid w:val="00D61B65"/>
    <w:rsid w:val="00D62B86"/>
    <w:rsid w:val="00D64452"/>
    <w:rsid w:val="00D644EA"/>
    <w:rsid w:val="00D678B0"/>
    <w:rsid w:val="00D679C7"/>
    <w:rsid w:val="00D70B4E"/>
    <w:rsid w:val="00D729EE"/>
    <w:rsid w:val="00D738D6"/>
    <w:rsid w:val="00D74157"/>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2870"/>
    <w:rsid w:val="00D93862"/>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818"/>
    <w:rsid w:val="00DB182D"/>
    <w:rsid w:val="00DB20C0"/>
    <w:rsid w:val="00DB2A3C"/>
    <w:rsid w:val="00DB32FE"/>
    <w:rsid w:val="00DB357F"/>
    <w:rsid w:val="00DB62B2"/>
    <w:rsid w:val="00DB641E"/>
    <w:rsid w:val="00DB68F2"/>
    <w:rsid w:val="00DB7665"/>
    <w:rsid w:val="00DC23C9"/>
    <w:rsid w:val="00DC24D6"/>
    <w:rsid w:val="00DC285B"/>
    <w:rsid w:val="00DC309B"/>
    <w:rsid w:val="00DC3624"/>
    <w:rsid w:val="00DC3FD4"/>
    <w:rsid w:val="00DC417F"/>
    <w:rsid w:val="00DC4DA2"/>
    <w:rsid w:val="00DC5306"/>
    <w:rsid w:val="00DC590B"/>
    <w:rsid w:val="00DC5F65"/>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7F0"/>
    <w:rsid w:val="00DE4A44"/>
    <w:rsid w:val="00DE5365"/>
    <w:rsid w:val="00DE570C"/>
    <w:rsid w:val="00DE7360"/>
    <w:rsid w:val="00DF08DF"/>
    <w:rsid w:val="00DF1CCE"/>
    <w:rsid w:val="00DF232A"/>
    <w:rsid w:val="00DF2C28"/>
    <w:rsid w:val="00DF3532"/>
    <w:rsid w:val="00DF3D5B"/>
    <w:rsid w:val="00DF50F1"/>
    <w:rsid w:val="00DF55F3"/>
    <w:rsid w:val="00DF7852"/>
    <w:rsid w:val="00DF7A49"/>
    <w:rsid w:val="00E003DA"/>
    <w:rsid w:val="00E02647"/>
    <w:rsid w:val="00E02E71"/>
    <w:rsid w:val="00E031D2"/>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74AB"/>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A0B6D"/>
    <w:rsid w:val="00EA21C8"/>
    <w:rsid w:val="00EA43F1"/>
    <w:rsid w:val="00EA5286"/>
    <w:rsid w:val="00EA545F"/>
    <w:rsid w:val="00EB128E"/>
    <w:rsid w:val="00EB2C6E"/>
    <w:rsid w:val="00EB33A2"/>
    <w:rsid w:val="00EB35B1"/>
    <w:rsid w:val="00EB4E44"/>
    <w:rsid w:val="00EB6764"/>
    <w:rsid w:val="00EB7D3D"/>
    <w:rsid w:val="00EB7D89"/>
    <w:rsid w:val="00EC0B53"/>
    <w:rsid w:val="00EC1237"/>
    <w:rsid w:val="00EC198A"/>
    <w:rsid w:val="00EC2049"/>
    <w:rsid w:val="00EC28C1"/>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5065"/>
    <w:rsid w:val="00ED5500"/>
    <w:rsid w:val="00ED5755"/>
    <w:rsid w:val="00ED5B16"/>
    <w:rsid w:val="00ED645E"/>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F102B"/>
    <w:rsid w:val="00EF32C8"/>
    <w:rsid w:val="00EF338F"/>
    <w:rsid w:val="00EF4CD1"/>
    <w:rsid w:val="00EF54D1"/>
    <w:rsid w:val="00EF7B25"/>
    <w:rsid w:val="00F006C9"/>
    <w:rsid w:val="00F0103A"/>
    <w:rsid w:val="00F010D7"/>
    <w:rsid w:val="00F01B00"/>
    <w:rsid w:val="00F01E08"/>
    <w:rsid w:val="00F025A2"/>
    <w:rsid w:val="00F02CD0"/>
    <w:rsid w:val="00F0548C"/>
    <w:rsid w:val="00F05835"/>
    <w:rsid w:val="00F068B5"/>
    <w:rsid w:val="00F07388"/>
    <w:rsid w:val="00F07FD6"/>
    <w:rsid w:val="00F109EF"/>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770"/>
    <w:rsid w:val="00F26C21"/>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AAD"/>
    <w:rsid w:val="00F53B29"/>
    <w:rsid w:val="00F53EAE"/>
    <w:rsid w:val="00F54A3D"/>
    <w:rsid w:val="00F54F7D"/>
    <w:rsid w:val="00F551F3"/>
    <w:rsid w:val="00F56223"/>
    <w:rsid w:val="00F56E3C"/>
    <w:rsid w:val="00F6046C"/>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453F"/>
    <w:rsid w:val="00F75113"/>
    <w:rsid w:val="00F75703"/>
    <w:rsid w:val="00F75733"/>
    <w:rsid w:val="00F765F4"/>
    <w:rsid w:val="00F768D5"/>
    <w:rsid w:val="00F76F8F"/>
    <w:rsid w:val="00F80C4B"/>
    <w:rsid w:val="00F812B5"/>
    <w:rsid w:val="00F8149E"/>
    <w:rsid w:val="00F8181F"/>
    <w:rsid w:val="00F81B09"/>
    <w:rsid w:val="00F82152"/>
    <w:rsid w:val="00F82F99"/>
    <w:rsid w:val="00F83BFE"/>
    <w:rsid w:val="00F83C21"/>
    <w:rsid w:val="00F83C6A"/>
    <w:rsid w:val="00F84210"/>
    <w:rsid w:val="00F84F4D"/>
    <w:rsid w:val="00F85197"/>
    <w:rsid w:val="00F85934"/>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EE7"/>
    <w:rsid w:val="00FA03FA"/>
    <w:rsid w:val="00FA074D"/>
    <w:rsid w:val="00FA0ED0"/>
    <w:rsid w:val="00FA1266"/>
    <w:rsid w:val="00FA24B9"/>
    <w:rsid w:val="00FA2B51"/>
    <w:rsid w:val="00FA3849"/>
    <w:rsid w:val="00FA4966"/>
    <w:rsid w:val="00FA4F41"/>
    <w:rsid w:val="00FA5626"/>
    <w:rsid w:val="00FA63FF"/>
    <w:rsid w:val="00FA6579"/>
    <w:rsid w:val="00FA7D68"/>
    <w:rsid w:val="00FB05F2"/>
    <w:rsid w:val="00FB161A"/>
    <w:rsid w:val="00FB16A0"/>
    <w:rsid w:val="00FB27E1"/>
    <w:rsid w:val="00FB2FC2"/>
    <w:rsid w:val="00FB3E24"/>
    <w:rsid w:val="00FB5065"/>
    <w:rsid w:val="00FB5CA7"/>
    <w:rsid w:val="00FB6CAF"/>
    <w:rsid w:val="00FB7E5F"/>
    <w:rsid w:val="00FC1192"/>
    <w:rsid w:val="00FC1CE1"/>
    <w:rsid w:val="00FC240E"/>
    <w:rsid w:val="00FC3516"/>
    <w:rsid w:val="00FC3F06"/>
    <w:rsid w:val="00FC4365"/>
    <w:rsid w:val="00FC629F"/>
    <w:rsid w:val="00FC7D8A"/>
    <w:rsid w:val="00FD1F50"/>
    <w:rsid w:val="00FD2379"/>
    <w:rsid w:val="00FD2F21"/>
    <w:rsid w:val="00FD40D1"/>
    <w:rsid w:val="00FD4525"/>
    <w:rsid w:val="00FD479C"/>
    <w:rsid w:val="00FD4E66"/>
    <w:rsid w:val="00FD4EDD"/>
    <w:rsid w:val="00FD556C"/>
    <w:rsid w:val="00FD5648"/>
    <w:rsid w:val="00FD5985"/>
    <w:rsid w:val="00FD654D"/>
    <w:rsid w:val="00FD68BD"/>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 w:val="72BE6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1"/>
    <w:semiHidden/>
    <w:unhideWhenUsed/>
    <w:qFormat/>
    <w:uiPriority w:val="0"/>
    <w:rPr>
      <w:rFonts w:ascii="宋体"/>
      <w:sz w:val="18"/>
      <w:szCs w:val="18"/>
    </w:rPr>
  </w:style>
  <w:style w:type="paragraph" w:styleId="20">
    <w:name w:val="annotation text"/>
    <w:basedOn w:val="1"/>
    <w:link w:val="74"/>
    <w:semiHidden/>
    <w:unhideWhenUsed/>
    <w:qFormat/>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0"/>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7"/>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20"/>
    <w:next w:val="20"/>
    <w:link w:val="75"/>
    <w:semiHidden/>
    <w:unhideWhenUsed/>
    <w:qFormat/>
    <w:uiPriority w:val="0"/>
    <w:rPr>
      <w:b/>
      <w:bCs/>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Hyperlink"/>
    <w:qFormat/>
    <w:uiPriority w:val="0"/>
    <w:rPr>
      <w:color w:val="0000FF"/>
      <w:u w:val="single"/>
    </w:rPr>
  </w:style>
  <w:style w:type="character" w:styleId="31">
    <w:name w:val="annotation reference"/>
    <w:basedOn w:val="29"/>
    <w:semiHidden/>
    <w:unhideWhenUsed/>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uiPriority w:val="0"/>
    <w:pPr>
      <w:jc w:val="right"/>
    </w:pPr>
  </w:style>
  <w:style w:type="paragraph" w:customStyle="1" w:styleId="40">
    <w:name w:val="TAL"/>
    <w:basedOn w:val="1"/>
    <w:link w:val="85"/>
    <w:qFormat/>
    <w:uiPriority w:val="0"/>
    <w:pPr>
      <w:keepNext/>
      <w:keepLines/>
      <w:spacing w:after="0"/>
    </w:pPr>
    <w:rPr>
      <w:rFonts w:ascii="Arial" w:hAnsi="Arial"/>
      <w:sz w:val="18"/>
    </w:rPr>
  </w:style>
  <w:style w:type="paragraph" w:customStyle="1" w:styleId="41">
    <w:name w:val="TAH"/>
    <w:basedOn w:val="42"/>
    <w:link w:val="86"/>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uiPriority w:val="0"/>
    <w:pPr>
      <w:spacing w:after="0"/>
    </w:pPr>
  </w:style>
  <w:style w:type="paragraph" w:customStyle="1" w:styleId="47">
    <w:name w:val="EW"/>
    <w:basedOn w:val="44"/>
    <w:qFormat/>
    <w:uiPriority w:val="0"/>
    <w:pPr>
      <w:spacing w:after="0"/>
    </w:pPr>
  </w:style>
  <w:style w:type="paragraph" w:customStyle="1" w:styleId="48">
    <w:name w:val="B1"/>
    <w:basedOn w:val="1"/>
    <w:link w:val="83"/>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8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link w:val="82"/>
    <w:qFormat/>
    <w:uiPriority w:val="0"/>
    <w:pPr>
      <w:keepNext w:val="0"/>
      <w:spacing w:before="0" w:after="240"/>
    </w:pPr>
  </w:style>
  <w:style w:type="paragraph" w:customStyle="1" w:styleId="58">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1"/>
    <w:link w:val="84"/>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uiPriority w:val="0"/>
    <w:pPr>
      <w:ind w:left="1418" w:hanging="284"/>
    </w:pPr>
  </w:style>
  <w:style w:type="paragraph" w:customStyle="1" w:styleId="62">
    <w:name w:val="B5"/>
    <w:basedOn w:val="1"/>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页眉 字符"/>
    <w:link w:val="24"/>
    <w:qFormat/>
    <w:uiPriority w:val="0"/>
    <w:rPr>
      <w:rFonts w:ascii="Arial" w:hAnsi="Arial"/>
      <w:b/>
      <w:sz w:val="18"/>
      <w:lang w:val="en-GB" w:eastAsia="ja-JP" w:bidi="ar-SA"/>
    </w:rPr>
  </w:style>
  <w:style w:type="paragraph" w:customStyle="1" w:styleId="68">
    <w:name w:val="CR Cover Page"/>
    <w:qFormat/>
    <w:uiPriority w:val="0"/>
    <w:pPr>
      <w:spacing w:after="120"/>
    </w:pPr>
    <w:rPr>
      <w:rFonts w:ascii="Arial" w:hAnsi="Arial" w:eastAsia="MS Mincho" w:cs="Times New Roman"/>
      <w:lang w:val="en-GB" w:eastAsia="en-US" w:bidi="ar-SA"/>
    </w:rPr>
  </w:style>
  <w:style w:type="paragraph" w:styleId="69">
    <w:name w:val="List Paragraph"/>
    <w:basedOn w:val="1"/>
    <w:qFormat/>
    <w:uiPriority w:val="34"/>
    <w:pPr>
      <w:ind w:left="720"/>
      <w:contextualSpacing/>
    </w:pPr>
  </w:style>
  <w:style w:type="character" w:customStyle="1" w:styleId="70">
    <w:name w:val="批注框文本 字符"/>
    <w:basedOn w:val="29"/>
    <w:link w:val="22"/>
    <w:semiHidden/>
    <w:qFormat/>
    <w:uiPriority w:val="0"/>
    <w:rPr>
      <w:rFonts w:ascii="Segoe UI" w:hAnsi="Segoe UI" w:cs="Segoe UI"/>
      <w:sz w:val="18"/>
      <w:szCs w:val="18"/>
      <w:lang w:eastAsia="en-US"/>
    </w:rPr>
  </w:style>
  <w:style w:type="character" w:customStyle="1" w:styleId="71">
    <w:name w:val="文档结构图 字符"/>
    <w:basedOn w:val="29"/>
    <w:link w:val="19"/>
    <w:semiHidden/>
    <w:qFormat/>
    <w:uiPriority w:val="0"/>
    <w:rPr>
      <w:rFonts w:ascii="宋体"/>
      <w:sz w:val="18"/>
      <w:szCs w:val="18"/>
      <w:lang w:eastAsia="en-US"/>
    </w:rPr>
  </w:style>
  <w:style w:type="paragraph" w:customStyle="1" w:styleId="72">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3">
    <w:name w:val="Revision"/>
    <w:hidden/>
    <w:semiHidden/>
    <w:qFormat/>
    <w:uiPriority w:val="99"/>
    <w:rPr>
      <w:rFonts w:ascii="Times New Roman" w:hAnsi="Times New Roman" w:eastAsia="宋体" w:cs="Times New Roman"/>
      <w:lang w:val="en-US" w:eastAsia="en-US" w:bidi="ar-SA"/>
    </w:rPr>
  </w:style>
  <w:style w:type="character" w:customStyle="1" w:styleId="74">
    <w:name w:val="批注文字 字符"/>
    <w:basedOn w:val="29"/>
    <w:link w:val="20"/>
    <w:semiHidden/>
    <w:qFormat/>
    <w:uiPriority w:val="0"/>
    <w:rPr>
      <w:lang w:val="en-US" w:eastAsia="en-US"/>
    </w:rPr>
  </w:style>
  <w:style w:type="character" w:customStyle="1" w:styleId="75">
    <w:name w:val="批注主题 字符"/>
    <w:basedOn w:val="74"/>
    <w:link w:val="26"/>
    <w:semiHidden/>
    <w:qFormat/>
    <w:uiPriority w:val="0"/>
    <w:rPr>
      <w:b/>
      <w:bCs/>
      <w:lang w:val="en-US" w:eastAsia="en-US"/>
    </w:rPr>
  </w:style>
  <w:style w:type="character" w:customStyle="1" w:styleId="76">
    <w:name w:val="PL Char"/>
    <w:link w:val="38"/>
    <w:qFormat/>
    <w:uiPriority w:val="0"/>
    <w:rPr>
      <w:rFonts w:ascii="Courier New" w:hAnsi="Courier New"/>
      <w:sz w:val="16"/>
      <w:lang w:eastAsia="en-US"/>
    </w:rPr>
  </w:style>
  <w:style w:type="paragraph" w:customStyle="1" w:styleId="77">
    <w:name w:val="3GPP_Header"/>
    <w:basedOn w:val="1"/>
    <w:link w:val="78"/>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78">
    <w:name w:val="3GPP_Header Char"/>
    <w:link w:val="77"/>
    <w:qFormat/>
    <w:uiPriority w:val="0"/>
    <w:rPr>
      <w:rFonts w:eastAsia="Times New Roman"/>
      <w:b/>
      <w:sz w:val="24"/>
      <w:lang w:eastAsia="zh-CN"/>
    </w:rPr>
  </w:style>
  <w:style w:type="paragraph" w:customStyle="1" w:styleId="79">
    <w:name w:val="Comments"/>
    <w:basedOn w:val="1"/>
    <w:link w:val="80"/>
    <w:qFormat/>
    <w:uiPriority w:val="0"/>
    <w:pPr>
      <w:spacing w:before="40" w:after="0"/>
    </w:pPr>
    <w:rPr>
      <w:rFonts w:ascii="Arial" w:hAnsi="Arial" w:eastAsia="MS Mincho"/>
      <w:i/>
      <w:sz w:val="18"/>
      <w:szCs w:val="24"/>
      <w:lang w:val="en-GB" w:eastAsia="en-GB"/>
    </w:rPr>
  </w:style>
  <w:style w:type="character" w:customStyle="1" w:styleId="80">
    <w:name w:val="Comments Char"/>
    <w:link w:val="79"/>
    <w:qFormat/>
    <w:uiPriority w:val="0"/>
    <w:rPr>
      <w:rFonts w:ascii="Arial" w:hAnsi="Arial" w:eastAsia="MS Mincho"/>
      <w:i/>
      <w:sz w:val="18"/>
      <w:szCs w:val="24"/>
    </w:rPr>
  </w:style>
  <w:style w:type="character" w:customStyle="1" w:styleId="81">
    <w:name w:val="TH Char"/>
    <w:link w:val="50"/>
    <w:qFormat/>
    <w:locked/>
    <w:uiPriority w:val="0"/>
    <w:rPr>
      <w:rFonts w:ascii="Arial" w:hAnsi="Arial"/>
      <w:b/>
      <w:lang w:val="en-US" w:eastAsia="en-US"/>
    </w:rPr>
  </w:style>
  <w:style w:type="character" w:customStyle="1" w:styleId="82">
    <w:name w:val="TF Char"/>
    <w:link w:val="57"/>
    <w:qFormat/>
    <w:locked/>
    <w:uiPriority w:val="0"/>
    <w:rPr>
      <w:rFonts w:ascii="Arial" w:hAnsi="Arial"/>
      <w:b/>
      <w:lang w:val="en-US" w:eastAsia="en-US"/>
    </w:rPr>
  </w:style>
  <w:style w:type="character" w:customStyle="1" w:styleId="83">
    <w:name w:val="B1 Char"/>
    <w:link w:val="48"/>
    <w:qFormat/>
    <w:uiPriority w:val="0"/>
    <w:rPr>
      <w:lang w:val="en-US" w:eastAsia="en-US"/>
    </w:rPr>
  </w:style>
  <w:style w:type="character" w:customStyle="1" w:styleId="84">
    <w:name w:val="B2 Char"/>
    <w:link w:val="59"/>
    <w:qFormat/>
    <w:uiPriority w:val="0"/>
    <w:rPr>
      <w:lang w:val="en-US" w:eastAsia="en-US"/>
    </w:rPr>
  </w:style>
  <w:style w:type="character" w:customStyle="1" w:styleId="85">
    <w:name w:val="TAL Char"/>
    <w:link w:val="40"/>
    <w:qFormat/>
    <w:locked/>
    <w:uiPriority w:val="0"/>
    <w:rPr>
      <w:rFonts w:ascii="Arial" w:hAnsi="Arial"/>
      <w:sz w:val="18"/>
      <w:lang w:val="en-US" w:eastAsia="en-US"/>
    </w:rPr>
  </w:style>
  <w:style w:type="character" w:customStyle="1" w:styleId="86">
    <w:name w:val="TAH Car"/>
    <w:link w:val="41"/>
    <w:qFormat/>
    <w:locked/>
    <w:uiPriority w:val="0"/>
    <w:rPr>
      <w:rFonts w:ascii="Arial" w:hAnsi="Arial"/>
      <w:b/>
      <w:sz w:val="18"/>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datastoreItem>
</file>

<file path=customXml/itemProps2.xml><?xml version="1.0" encoding="utf-8"?>
<ds:datastoreItem xmlns:ds="http://schemas.openxmlformats.org/officeDocument/2006/customXml" ds:itemID="{B783112F-6747-47E2-AFE0-9AE56D0C6EE8}">
  <ds:schemaRefs/>
</ds:datastoreItem>
</file>

<file path=customXml/itemProps3.xml><?xml version="1.0" encoding="utf-8"?>
<ds:datastoreItem xmlns:ds="http://schemas.openxmlformats.org/officeDocument/2006/customXml" ds:itemID="{E8EDFA05-CD50-438D-A79F-CBCA108C7678}">
  <ds:schemaRefs/>
</ds:datastoreItem>
</file>

<file path=customXml/itemProps4.xml><?xml version="1.0" encoding="utf-8"?>
<ds:datastoreItem xmlns:ds="http://schemas.openxmlformats.org/officeDocument/2006/customXml" ds:itemID="{9F52CEDD-7AC6-403E-946B-F7A9A72C3B36}">
  <ds:schemaRefs/>
</ds:datastoreItem>
</file>

<file path=customXml/itemProps5.xml><?xml version="1.0" encoding="utf-8"?>
<ds:datastoreItem xmlns:ds="http://schemas.openxmlformats.org/officeDocument/2006/customXml" ds:itemID="{B8200C5E-686A-498E-A9A0-51DA562118FD}">
  <ds:schemaRefs/>
</ds:datastoreItem>
</file>

<file path=docProps/app.xml><?xml version="1.0" encoding="utf-8"?>
<Properties xmlns="http://schemas.openxmlformats.org/officeDocument/2006/extended-properties" xmlns:vt="http://schemas.openxmlformats.org/officeDocument/2006/docPropsVTypes">
  <Template>3GPP TDoc</Template>
  <Company>China Mobile Communications Group Co.,Ltd</Company>
  <Pages>5</Pages>
  <Words>1987</Words>
  <Characters>11331</Characters>
  <Lines>94</Lines>
  <Paragraphs>26</Paragraphs>
  <TotalTime>4452</TotalTime>
  <ScaleCrop>false</ScaleCrop>
  <LinksUpToDate>false</LinksUpToDate>
  <CharactersWithSpaces>13292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2022-07-29T03:01:00Z</dcterms:created>
  <dc:creator>刘康怡 (Kangyi Liu)</dc:creator>
  <cp:lastModifiedBy>CMCC</cp:lastModifiedBy>
  <dcterms:modified xsi:type="dcterms:W3CDTF">2023-04-07T03:21:28Z</dcterms:modified>
  <dc:subject>&lt;Title 1; Title 2&gt; (Release 13 |12 |11 | 10 | 9 | 8 | 7 | 6 | 5 | 4)</dc:subject>
  <cp:revision>1200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2052-11.8.2.11716</vt:lpwstr>
  </property>
  <property fmtid="{D5CDD505-2E9C-101B-9397-08002B2CF9AE}" pid="5" name="ICV">
    <vt:lpwstr>2153EF199E864833A3F86FC2E06E1B1F</vt:lpwstr>
  </property>
</Properties>
</file>